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Ares Private Markets Fund (tender-offer fund ('40 Act), CIK 1876006)</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CONDITIONAL-WEAK.</w:t>
      </w:r>
    </w:p>
    <w:p>
      <w:r>
        <w:t>Benchmark: Peer cohort composite: evergreen_pe without ares_pmf (amg_pantheon, hl_paf, kkr_kpec, stepstone_spm) at 10/12, KS-PME 1.0822, Direct Alpha 1.99%/yr over FY2023 to FY2026.</w:t>
      </w:r>
    </w:p>
    <w:p>
      <w:r>
        <w:t>Flags raised by the record (each restates a typed value or verdict, with its source):</w:t>
      </w:r>
    </w:p>
    <w:p>
      <w:pPr>
        <w:pStyle w:val="ListBullet"/>
      </w:pPr>
      <w:r>
        <w:t>Liquidity: ILLUSTRATIVE scenario verdict conditional-weak under this plan (base or stressed demand above wrapper capacity)</w:t>
      </w:r>
    </w:p>
    <w:p>
      <w:r>
        <w:t>Evidence coverage: 40 of 40 resolvable, 0 verified, 14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10/12.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evergreen_pe without ares_pmf (amg_pantheon, hl_paf, kkr_kpec, stepstone_spm)</w:t>
            </w:r>
          </w:p>
        </w:tc>
        <w:tc>
          <w:tcPr>
            <w:tcW w:type="dxa" w:w="864"/>
          </w:tcPr>
          <w:p>
            <w:r>
              <w:t>10/12</w:t>
            </w:r>
          </w:p>
        </w:tc>
        <w:tc>
          <w:tcPr>
            <w:tcW w:type="dxa" w:w="3888"/>
          </w:tcPr>
          <w:p>
            <w:r>
              <w:t>KS-PME 1.0822, Direct Alpha 1.99%/yr, FY2023 to FY2026</w:t>
            </w:r>
          </w:p>
        </w:tc>
      </w:tr>
      <w:tr>
        <w:tc>
          <w:tcPr>
            <w:tcW w:type="dxa" w:w="1152"/>
          </w:tcPr>
          <w:p>
            <w:r>
              <w:t>secondary</w:t>
            </w:r>
          </w:p>
        </w:tc>
        <w:tc>
          <w:tcPr>
            <w:tcW w:type="dxa" w:w="3456"/>
          </w:tcPr>
          <w:p>
            <w:r>
              <w:t>Listed private equity investable proxy (PSP)</w:t>
            </w:r>
          </w:p>
        </w:tc>
        <w:tc>
          <w:tcPr>
            <w:tcW w:type="dxa" w:w="864"/>
          </w:tcPr>
          <w:p>
            <w:r>
              <w:t>9/12</w:t>
            </w:r>
          </w:p>
        </w:tc>
        <w:tc>
          <w:tcPr>
            <w:tcW w:type="dxa" w:w="3888"/>
          </w:tcPr>
          <w:p>
            <w:r>
              <w:t>KS-PME 1.5712, Direct Alpha 11.97%/yr, 2022-04-01 to 2026-03-31</w:t>
            </w:r>
          </w:p>
        </w:tc>
      </w:tr>
      <w:tr>
        <w:tc>
          <w:tcPr>
            <w:tcW w:type="dxa" w:w="1152"/>
          </w:tcPr>
          <w:p>
            <w:r>
              <w:t>rejected</w:t>
            </w:r>
          </w:p>
        </w:tc>
        <w:tc>
          <w:tcPr>
            <w:tcW w:type="dxa" w:w="3456"/>
          </w:tcPr>
          <w:p>
            <w:r>
              <w:t>Cambridge Associates US PE benchmark</w:t>
            </w:r>
          </w:p>
        </w:tc>
        <w:tc>
          <w:tcPr>
            <w:tcW w:type="dxa" w:w="864"/>
          </w:tcPr>
          <w:p>
            <w:r>
              <w:t>7/12</w:t>
            </w:r>
          </w:p>
        </w:tc>
        <w:tc>
          <w:tcPr>
            <w:tcW w:type="dxa" w:w="3888"/>
          </w:tcPr>
          <w:p>
            <w:r>
              <w:t>outranked: score 7/12 vs primary 10/12 and secondary 9/12 (only two slots). Retained in log as viable alternate</w:t>
            </w:r>
          </w:p>
        </w:tc>
      </w:tr>
      <w:tr>
        <w:tc>
          <w:tcPr>
            <w:tcW w:type="dxa" w:w="1152"/>
          </w:tcPr>
          <w:p>
            <w:r>
              <w:t>rejected</w:t>
            </w:r>
          </w:p>
        </w:tc>
        <w:tc>
          <w:tcPr>
            <w:tcW w:type="dxa" w:w="3456"/>
          </w:tcPr>
          <w:p>
            <w:r>
              <w:t>MSCI World investable proxy (URTH)</w:t>
            </w:r>
          </w:p>
        </w:tc>
        <w:tc>
          <w:tcPr>
            <w:tcW w:type="dxa" w:w="864"/>
          </w:tcPr>
          <w:p>
            <w:r>
              <w:t>6/12</w:t>
            </w:r>
          </w:p>
        </w:tc>
        <w:tc>
          <w:tcPr>
            <w:tcW w:type="dxa" w:w="3888"/>
          </w:tcPr>
          <w:p>
            <w:r>
              <w:t>rejected: strategy gate (score 6/12 but strategy_match 1/3)</w:t>
            </w:r>
          </w:p>
        </w:tc>
      </w:tr>
    </w:tbl>
    <w:p>
      <w:pPr>
        <w:pStyle w:val="Heading1"/>
      </w:pPr>
      <w:r>
        <w:t>Exhibit B.</w:t>
      </w:r>
    </w:p>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(narrowed): this plan is PARTIALLY participant-directed per its own Form 5500 codes (2H, no 2G/404(c) code filed). A trustee-directed sleeve could hold this wrapper directly, and the daily-menu constraint (this wrapper deals 4x/year) applies only to the participant-directed portion (cell 3.5).</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tender_offer</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net assets</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4x per year at 5% of net assets: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quarter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1.40% on managed assets (leverage-inclusive)</w:t>
            </w:r>
          </w:p>
        </w:tc>
        <w:tc>
          <w:tcPr>
            <w:tcW w:type="dxa" w:w="2880"/>
          </w:tcPr>
          <w:p>
            <w:r>
              <w:t>extracted-unverified</w:t>
            </w:r>
          </w:p>
        </w:tc>
      </w:tr>
      <w:tr>
        <w:tc>
          <w:tcPr>
            <w:tcW w:type="dxa" w:w="2880"/>
          </w:tcPr>
          <w:p>
            <w:r>
              <w:t>2.2 Incentive fee terms</w:t>
            </w:r>
          </w:p>
        </w:tc>
        <w:tc>
          <w:tcPr>
            <w:tcW w:type="dxa" w:w="3600"/>
          </w:tcPr>
          <w:p>
            <w:r>
              <w:t>incentive fee: 12.5%</w:t>
            </w:r>
          </w:p>
        </w:tc>
        <w:tc>
          <w:tcPr>
            <w:tcW w:type="dxa" w:w="2880"/>
          </w:tcPr>
          <w:p>
            <w:r>
              <w:t>extracted-unverified</w:t>
            </w:r>
          </w:p>
        </w:tc>
      </w:tr>
      <w:tr>
        <w:tc>
          <w:tcPr>
            <w:tcW w:type="dxa" w:w="2880"/>
          </w:tcPr>
          <w:p>
            <w:r>
              <w:t>2.3 Total expense ratio &amp; waivers</w:t>
            </w:r>
          </w:p>
        </w:tc>
        <w:tc>
          <w:tcPr>
            <w:tcW w:type="dxa" w:w="3600"/>
          </w:tcPr>
          <w:p>
            <w:r>
              <w:t>5.02% net expense ratio</w:t>
            </w:r>
          </w:p>
        </w:tc>
        <w:tc>
          <w:tcPr>
            <w:tcW w:type="dxa" w:w="2880"/>
          </w:tcPr>
          <w:p>
            <w:r>
              <w:t>extracted-unverified</w:t>
            </w:r>
          </w:p>
        </w:tc>
      </w:tr>
      <w:tr>
        <w:tc>
          <w:tcPr>
            <w:tcW w:type="dxa" w:w="2880"/>
          </w:tcPr>
          <w:p>
            <w:r>
              <w:t>2.4 AFFE</w:t>
            </w:r>
          </w:p>
        </w:tc>
        <w:tc>
          <w:tcPr>
            <w:tcW w:type="dxa" w:w="3600"/>
          </w:tcPr>
          <w:p>
            <w:r>
              <w:t>AFFE 1.00%</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Secondaries-led evergreen PE tender-offer fund - wrapper and strategy twin of hl_paf/stepstone_spm.</w:t>
      </w:r>
    </w:p>
    <w:p>
      <w:r>
        <w:t>Cohort placement (evergreen_pe, R4 phrasing): mgmt fee: 50th percentile of cohort (n=5), at the median of 1.4 | expense ratio (bases differ, see notes): 90th percentile of cohort (n=5), above the median of 3.19 | repurchase cap: 50th percentile of cohort (n=5), at the median of 5. Stats and per-member values in data/cohorts/evergreen_pe.json, membership rationales in data/facts.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28, verified 0, computed 9, partial 2, fetched 1, n/a 14,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