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escalated.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 (benchmark selection)</w:t>
      </w:r>
    </w:p>
    <w:p>
      <w:pPr>
        <w:pStyle w:val="ListBullet"/>
      </w:pPr>
      <w:r>
        <w:t>Liquidity: ILLUSTRATIVE scenario verdict conditional-weak under this plan (base or stressed demand above wrapper capacity)</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cohort composite: venture without arkvx (dxyz, ssss)</w:t>
            </w:r>
          </w:p>
        </w:tc>
        <w:tc>
          <w:tcPr>
            <w:tcW w:type="dxa" w:w="864"/>
          </w:tcPr>
          <w:p>
            <w:r>
              <w:t>2/12</w:t>
            </w:r>
          </w:p>
        </w:tc>
        <w:tc>
          <w:tcPr>
            <w:tcW w:type="dxa" w:w="3888"/>
          </w:tcPr>
          <w:p>
            <w:r>
              <w:t>score 2/12 below primary threshold 7</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net expense ratio</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(venture, R4 phrasing): mgmt fee: above the cohort median of 2.5 (n=3, too small for percentile language) | expense ratio (bases differ, see notes): below the cohort median of 4.53 (n=3, too small for percentile language) | repurchase cap: only member with this fact (n=1).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