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Global management-consulting firm profit-sharing/401(k) plan (~$9.8B, NY)</w:t>
        <w:br/>
      </w:r>
      <w:r>
        <w:t>Product: Blackstone Private Credit Fund (non-traded BDC ('34 Act reporting; continuous offering), CIK 1803498)</w:t>
        <w:br/>
      </w:r>
      <w:r>
        <w:t>Record as of 2026-09-04. DRAFT, generated by the build from the record. The decision memo for the same plan and product is a separate document.</w:t>
      </w:r>
    </w:p>
    <w:p>
      <w:pPr>
        <w:pStyle w:val="Heading1"/>
      </w:pPr>
      <w:r>
        <w:t>Summary</w:t>
      </w:r>
    </w:p>
    <w:p>
      <w:r>
        <w:t>Structural liquidity verdict: CONDITIONAL (typed facts, plan-independent). Scenario verdict under this plan (ILLUSTRATIVE, default sliders): CONDITIONAL-WEAK.</w:t>
      </w:r>
    </w:p>
    <w:p>
      <w:r>
        <w:t>Benchmark: Peer cohort composite: private_credit without bcred (cion_ares, cliffwater_cclfx, ocic, pflex) at 10/12, KS-PME 1.0798, Direct Alpha 1.55%/yr over FY2021 to FY2025.</w:t>
      </w:r>
    </w:p>
    <w:p>
      <w:r>
        <w:t>Flags raised by the record (each restates a typed value or verdict, with its source):</w:t>
      </w:r>
    </w:p>
    <w:p>
      <w:pPr>
        <w:pStyle w:val="ListBullet"/>
      </w:pPr>
      <w:r>
        <w:t>Liquidity: ILLUSTRATIVE scenario verdict conditional-weak under this plan (base or stressed demand above wrapper capacity)</w:t>
      </w:r>
    </w:p>
    <w:p>
      <w:r>
        <w:t>Evidence coverage: 40 of 40 resolvable, 0 verified, 14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Rubric v2, threshold 7 of 12, strategy gate. Max attainable on held data 10/12.</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primary</w:t>
            </w:r>
          </w:p>
        </w:tc>
        <w:tc>
          <w:tcPr>
            <w:tcW w:type="dxa" w:w="3456"/>
          </w:tcPr>
          <w:p>
            <w:r>
              <w:t>Peer cohort composite: private_credit without bcred (cion_ares, cliffwater_cclfx, ocic, pflex)</w:t>
            </w:r>
          </w:p>
        </w:tc>
        <w:tc>
          <w:tcPr>
            <w:tcW w:type="dxa" w:w="864"/>
          </w:tcPr>
          <w:p>
            <w:r>
              <w:t>10/12</w:t>
            </w:r>
          </w:p>
        </w:tc>
        <w:tc>
          <w:tcPr>
            <w:tcW w:type="dxa" w:w="3888"/>
          </w:tcPr>
          <w:p>
            <w:r>
              <w:t>KS-PME 1.0798, Direct Alpha 1.55%/yr, FY2021 to FY2025</w:t>
            </w:r>
          </w:p>
        </w:tc>
      </w:tr>
      <w:tr>
        <w:tc>
          <w:tcPr>
            <w:tcW w:type="dxa" w:w="1152"/>
          </w:tcPr>
          <w:p>
            <w:r>
              <w:t>secondary</w:t>
            </w:r>
          </w:p>
        </w:tc>
        <w:tc>
          <w:tcPr>
            <w:tcW w:type="dxa" w:w="3456"/>
          </w:tcPr>
          <w:p>
            <w:r>
              <w:t>Senior loan investable proxy (BKLN, for Morningstar LSTA class)</w:t>
            </w:r>
          </w:p>
        </w:tc>
        <w:tc>
          <w:tcPr>
            <w:tcW w:type="dxa" w:w="864"/>
          </w:tcPr>
          <w:p>
            <w:r>
              <w:t>9/12</w:t>
            </w:r>
          </w:p>
        </w:tc>
        <w:tc>
          <w:tcPr>
            <w:tcW w:type="dxa" w:w="3888"/>
          </w:tcPr>
          <w:p>
            <w:r>
              <w:t>KS-PME 1.2378, Direct Alpha 4.38%/yr, 2021-01-07 to 2025-12-31</w:t>
            </w:r>
          </w:p>
        </w:tc>
      </w:tr>
      <w:tr>
        <w:tc>
          <w:tcPr>
            <w:tcW w:type="dxa" w:w="1152"/>
          </w:tcPr>
          <w:p>
            <w:r>
              <w:t>rejected</w:t>
            </w:r>
          </w:p>
        </w:tc>
        <w:tc>
          <w:tcPr>
            <w:tcW w:type="dxa" w:w="3456"/>
          </w:tcPr>
          <w:p>
            <w:r>
              <w:t>Cliffwater Direct Lending Index (CDLI)</w:t>
            </w:r>
          </w:p>
        </w:tc>
        <w:tc>
          <w:tcPr>
            <w:tcW w:type="dxa" w:w="864"/>
          </w:tcPr>
          <w:p>
            <w:r>
              <w:t>7/12</w:t>
            </w:r>
          </w:p>
        </w:tc>
        <w:tc>
          <w:tcPr>
            <w:tcW w:type="dxa" w:w="3888"/>
          </w:tcPr>
          <w:p>
            <w:r>
              <w:t>outranked: score 7/12 vs primary 10/12 and secondary 9/12 (only two slots). Retained in log as viable alternate</w:t>
            </w:r>
          </w:p>
        </w:tc>
      </w:tr>
    </w:tbl>
    <w:p>
      <w:pPr>
        <w:pStyle w:val="Heading1"/>
      </w:pPr>
      <w:r>
        <w:t>Exhibit B.</w:t>
      </w:r>
    </w:p>
    <w:p>
      <w:pPr>
        <w:pStyle w:val="Heading1"/>
      </w:pPr>
      <w:r>
        <w:t>Product-to-plan liquidity match</w:t>
      </w:r>
    </w:p>
    <w:p>
      <w:r>
        <w:t>Plan: Global management-consulting firm profit-sharing/401(k) plan (~$9.8B, NY). verdict is structural (typed facts, cells 3.1, 3.3, 2.7, plan-independent). scenario_verdict is ILLUSTRATIVE (demand model against the same capacity, per plan).</w:t>
      </w:r>
    </w:p>
    <w:p>
      <w:pPr>
        <w:pStyle w:val="Heading2"/>
      </w:pPr>
      <w:r>
        <w:t>Structural verdict (typed facts, plan-independent)</w:t>
      </w:r>
    </w:p>
    <w:p>
      <w:r>
        <w:t>CONDITIONAL</w:t>
      </w:r>
    </w:p>
    <w:p>
      <w:pPr>
        <w:pStyle w:val="ListBullet"/>
      </w:pPr>
      <w:r>
        <w:t>STRUCTURAL GAP (narrowed): this plan is PARTIALLY participant-directed per its own Form 5500 codes (2H, no 2G/404(c) code filed). A trustee-directed sleeve could hold this wrapper directly, and the daily-menu constraint (this wrapper deals 4x/year) applies only to the participant-directed portion (cell 3.5).</w:t>
      </w:r>
    </w:p>
    <w:p>
      <w:pPr>
        <w:pStyle w:val="ListBullet"/>
      </w:pPr>
      <w:r>
        <w:t>Early repurchase economics: 2% if held &lt; 1 year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nontraded_bdc</w:t>
            </w:r>
          </w:p>
        </w:tc>
        <w:tc>
          <w:tcPr>
            <w:tcW w:type="dxa" w:w="1152"/>
          </w:tcPr>
          <w:p>
            <w:r>
              <w:t>6.1</w:t>
            </w:r>
          </w:p>
        </w:tc>
      </w:tr>
      <w:tr>
        <w:tc>
          <w:tcPr>
            <w:tcW w:type="dxa" w:w="2448"/>
          </w:tcPr>
          <w:p>
            <w:r>
              <w:t>Dealing cadence per year</w:t>
            </w:r>
          </w:p>
        </w:tc>
        <w:tc>
          <w:tcPr>
            <w:tcW w:type="dxa" w:w="5760"/>
          </w:tcPr>
          <w:p>
            <w:r>
              <w:t>4</w:t>
            </w:r>
          </w:p>
        </w:tc>
        <w:tc>
          <w:tcPr>
            <w:tcW w:type="dxa" w:w="1152"/>
          </w:tcPr>
          <w:p>
            <w:r>
              <w:t>3.1</w:t>
            </w:r>
          </w:p>
        </w:tc>
      </w:tr>
      <w:tr>
        <w:tc>
          <w:tcPr>
            <w:tcW w:type="dxa" w:w="2448"/>
          </w:tcPr>
          <w:p>
            <w:r>
              <w:t>Repurchase cap</w:t>
            </w:r>
          </w:p>
        </w:tc>
        <w:tc>
          <w:tcPr>
            <w:tcW w:type="dxa" w:w="5760"/>
          </w:tcPr>
          <w:p>
            <w:r>
              <w:t>5% of nav</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no suspension language in 3.1 or 3.3 as of 2025-12-31</w:t>
            </w:r>
          </w:p>
        </w:tc>
        <w:tc>
          <w:tcPr>
            <w:tcW w:type="dxa" w:w="1152"/>
          </w:tcPr>
          <w:p>
            <w:r>
              <w:t>3.1</w:t>
            </w:r>
          </w:p>
        </w:tc>
      </w:tr>
      <w:tr>
        <w:tc>
          <w:tcPr>
            <w:tcW w:type="dxa" w:w="2448"/>
          </w:tcPr>
          <w:p>
            <w:r>
              <w:t>Early repurchase fee</w:t>
            </w:r>
          </w:p>
        </w:tc>
        <w:tc>
          <w:tcPr>
            <w:tcW w:type="dxa" w:w="5760"/>
          </w:tcPr>
          <w:p>
            <w:r>
              <w:t>2% if held &lt; 1 year (2.7)</w:t>
            </w:r>
          </w:p>
        </w:tc>
        <w:tc>
          <w:tcPr>
            <w:tcW w:type="dxa" w:w="1152"/>
          </w:tcPr>
          <w:p>
            <w:r>
              <w:t>2.7</w:t>
            </w:r>
          </w:p>
        </w:tc>
      </w:tr>
    </w:tbl>
    <w:p>
      <w:pPr>
        <w:pStyle w:val="Heading2"/>
      </w:pPr>
      <w:r>
        <w:t>Scenario (ILLUSTRATIVE, this plan)</w:t>
      </w:r>
    </w:p>
    <w:p>
      <w:r>
        <w:t>Plan inputs (Form 5500): net assets $9.8B, liquidity tail 58.2% of accounts (20,253 separated participants with balances).</w:t>
      </w:r>
    </w:p>
    <w:p>
      <w:r>
        <w:t>Parameters (adjustable on the site, not facts): allocation 5% of plan = $490.5M, tail turnover 20%/yr, active turnover 5%/yr. Base demand $67.3M/yr = 13.7% of the position vs annual wrapper capacity 20%.</w:t>
      </w:r>
    </w:p>
    <w:p>
      <w:r>
        <w:t>Stressed (tail turnover x2, active turnover x1.5 vs base scenario): demand $129.5M/yr = 26.4% of the position. EXCEEDS annual wrapper capacity. Unmet demand rolls into later windows (gating-equivalent outcome).</w:t>
      </w:r>
    </w:p>
    <w:p>
      <w:r>
        <w:t>Scenario verdict (ILLUSTRATIVE, this plan): CONDITIONAL-WEAK.</w:t>
      </w:r>
    </w:p>
    <w:p>
      <w:pPr>
        <w:pStyle w:val="ListBullet"/>
      </w:pPr>
      <w:r>
        <w:t>Capacity: 4x per year at 5% of nav: at most 20% of the position per year. This is a FUND-level cap shared by every holder, so the plan's position is served only while offers are not oversubscribed.</w:t>
      </w:r>
    </w:p>
    <w:p>
      <w:pPr>
        <w:pStyle w:val="ListBullet"/>
      </w:pPr>
      <w:r>
        <w:t>Scenario demand (illustrative): 13.7% of the position per year vs 20% annual wrapper capacity. THIN HEADROOM: demand consumes over 60% of wrapper capacity, so proration in any oversubscribed quarter would push the shortfall into the next window.</w:t>
      </w:r>
    </w:p>
    <w:p>
      <w:pPr>
        <w:pStyle w:val="ListBullet"/>
      </w:pPr>
      <w:r>
        <w:t>Scenario verdict (ILLUSTRATIVE, this plan): conditional-weak. It moves with the sliders and the plan. Proration assumption: an oversubscribed offer is filled pro rata and the unfilled remainder waits for the next window.</w:t>
      </w:r>
    </w:p>
    <w:p>
      <w:pPr>
        <w:pStyle w:val="ListBullet"/>
      </w:pPr>
      <w:r>
        <w:t>Schedule H benefit payments (line 2e) not typed: the DOL bulk file F_SCH_H_2024_latest.csv is not in the repository and askebsa.dol.gov is blocked from the build container. Fill from the bulk file on a machine with access, citing the row. Demand uses the illustrative turnover sliders only.</w:t>
      </w:r>
    </w:p>
    <w:p>
      <w:r>
        <w:t>Cited: cell 3.1, cell 3.3, cell 3.5, cell 3.7, cell 3.9, cell 2.7, plan: plan_consulting_alumni.json (Form 5500, plan year 2024-01-01 to 2024-12-31).</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1.25% on net assets</w:t>
            </w:r>
          </w:p>
        </w:tc>
        <w:tc>
          <w:tcPr>
            <w:tcW w:type="dxa" w:w="2880"/>
          </w:tcPr>
          <w:p>
            <w:r>
              <w:t>extracted-unverified</w:t>
            </w:r>
          </w:p>
        </w:tc>
      </w:tr>
      <w:tr>
        <w:tc>
          <w:tcPr>
            <w:tcW w:type="dxa" w:w="2880"/>
          </w:tcPr>
          <w:p>
            <w:r>
              <w:t>2.2 Incentive fee terms</w:t>
            </w:r>
          </w:p>
        </w:tc>
        <w:tc>
          <w:tcPr>
            <w:tcW w:type="dxa" w:w="3600"/>
          </w:tcPr>
          <w:p>
            <w:r>
              <w:t>incentive fee: 12.5% / 5% hurdle</w:t>
            </w:r>
          </w:p>
        </w:tc>
        <w:tc>
          <w:tcPr>
            <w:tcW w:type="dxa" w:w="2880"/>
          </w:tcPr>
          <w:p>
            <w:r>
              <w:t>extracted-unverified</w:t>
            </w:r>
          </w:p>
        </w:tc>
      </w:tr>
      <w:tr>
        <w:tc>
          <w:tcPr>
            <w:tcW w:type="dxa" w:w="2880"/>
          </w:tcPr>
          <w:p>
            <w:r>
              <w:t>2.3 Total expense ratio &amp; waivers</w:t>
            </w:r>
          </w:p>
        </w:tc>
        <w:tc>
          <w:tcPr>
            <w:tcW w:type="dxa" w:w="3600"/>
          </w:tcPr>
          <w:p>
            <w:r>
              <w:t>7.00% net expense ratio</w:t>
            </w:r>
          </w:p>
        </w:tc>
        <w:tc>
          <w:tcPr>
            <w:tcW w:type="dxa" w:w="2880"/>
          </w:tcPr>
          <w:p>
            <w:r>
              <w:t>extracted-unverified</w:t>
            </w:r>
          </w:p>
        </w:tc>
      </w:tr>
      <w:tr>
        <w:tc>
          <w:tcPr>
            <w:tcW w:type="dxa" w:w="2880"/>
          </w:tcPr>
          <w:p>
            <w:r>
              <w:t>2.4 AFFE</w:t>
            </w:r>
          </w:p>
        </w:tc>
        <w:tc>
          <w:tcPr>
            <w:tcW w:type="dxa" w:w="3600"/>
          </w:tcPr>
          <w:p>
            <w:r>
              <w:t>AFFE 0.02%</w:t>
            </w:r>
          </w:p>
        </w:tc>
        <w:tc>
          <w:tcPr>
            <w:tcW w:type="dxa" w:w="2880"/>
          </w:tcPr>
          <w:p>
            <w:r>
              <w:t>extracted-unverified</w:t>
            </w:r>
          </w:p>
        </w:tc>
      </w:tr>
      <w:tr>
        <w:tc>
          <w:tcPr>
            <w:tcW w:type="dxa" w:w="2880"/>
          </w:tcPr>
          <w:p>
            <w:r>
              <w:t>2.6 Loads &amp; servicing fees</w:t>
            </w:r>
          </w:p>
        </w:tc>
        <w:tc>
          <w:tcPr>
            <w:tcW w:type="dxa" w:w="3600"/>
          </w:tcPr>
          <w:p>
            <w:r>
              <w:t>extracted</w:t>
            </w:r>
          </w:p>
        </w:tc>
        <w:tc>
          <w:tcPr>
            <w:tcW w:type="dxa" w:w="2880"/>
          </w:tcPr>
          <w:p>
            <w:r>
              <w:t>extracted-unverified</w:t>
            </w:r>
          </w:p>
        </w:tc>
      </w:tr>
      <w:tr>
        <w:tc>
          <w:tcPr>
            <w:tcW w:type="dxa" w:w="2880"/>
          </w:tcPr>
          <w:p>
            <w:r>
              <w:t>2.7 Early repurchase fee</w:t>
            </w:r>
          </w:p>
        </w:tc>
        <w:tc>
          <w:tcPr>
            <w:tcW w:type="dxa" w:w="3600"/>
          </w:tcPr>
          <w:p>
            <w:r>
              <w:t>early repurchase fee: 2% &lt; 1 year</w:t>
            </w:r>
          </w:p>
        </w:tc>
        <w:tc>
          <w:tcPr>
            <w:tcW w:type="dxa" w:w="2880"/>
          </w:tcPr>
          <w:p>
            <w:r>
              <w:t>extracted-unverified</w:t>
            </w:r>
          </w:p>
        </w:tc>
      </w:tr>
      <w:tr>
        <w:tc>
          <w:tcPr>
            <w:tcW w:type="dxa" w:w="2880"/>
          </w:tcPr>
          <w:p>
            <w:r>
              <w:t>6.4 Tax reporting (1099 vs K-1)</w:t>
            </w:r>
          </w:p>
        </w:tc>
        <w:tc>
          <w:tcPr>
            <w:tcW w:type="dxa" w:w="3600"/>
          </w:tcPr>
          <w:p>
            <w:r>
              <w:t>Form 1099</w:t>
            </w:r>
          </w:p>
        </w:tc>
        <w:tc>
          <w:tcPr>
            <w:tcW w:type="dxa" w:w="2880"/>
          </w:tcPr>
          <w:p>
            <w:r>
              <w:t>extracted-unverified</w:t>
            </w:r>
          </w:p>
        </w:tc>
      </w:tr>
    </w:tbl>
    <w:p>
      <w:pPr>
        <w:pStyle w:val="Heading1"/>
      </w:pPr>
      <w:r>
        <w:t>Exhibit D. Peer cohort placement</w:t>
      </w:r>
    </w:p>
    <w:p>
      <w:r>
        <w:t>Cohort Private credit (interval fund + non-traded BDC) (n=5). Direct-lending private credit in a non-traded BDC chassis: the same strategy as cclfx on different plumbing (150% asset-coverage leverage, discretionary quarterly tenders, monthly NAV). Admitted deliberately cross-wrapper so the caveat machinery has real work.</w:t>
      </w:r>
    </w:p>
    <w:p>
      <w:r>
        <w:t>Cohort placement (private_credit, R4 phrasing): mgmt fee: 50th percentile of cohort (n=5), at the median of 1.25 | expense ratio (bases differ, see notes): 70th percentile of cohort (n=5), above the median of 3.76 | repurchase cap: 50th percentile of cohort (n=5), at the median of 5. Stats and per-member values in data/cohorts/private_credit.json, membership rationales in data/facts.</w:t>
      </w:r>
    </w:p>
    <w:p>
      <w:pPr>
        <w:pStyle w:val="ListBullet"/>
      </w:pPr>
      <w:r>
        <w:t>LEVERAGE-REGIME MIX: BDC 150% coverage and non-1940-Act wrappers allow materially more leverage than 1940-Act funds. Fee bases and return volatility are not like-for-like. [typed per product: bcred: BDC 150% asset-coverage regime, cion_ares: 1940-Act asset-coverage limits, cliffwater_cclfx: 1940-Act asset-coverage limits, ocic: BDC 150% asset-coverage regime, pflex: 1940-Act asset-coverage limits]</w:t>
      </w:r>
    </w:p>
    <w:p>
      <w:pPr>
        <w:pStyle w:val="ListBullet"/>
      </w:pPr>
      <w:r>
        <w:t>LIQUIDITY-LAW MIX: Rule 23c-3 obligations, discretionary tenders, and repurchase plans give different worst-case exit rights. Cadence numbers alone overstate comparability. [by wrapper type: bcred: board-discretionary share repurchases, cion_ares: Rule 23c-3 OBLIGATION (board cannot skip a window), cliffwater_cclfx: Rule 23c-3 OBLIGATION (board cannot skip a window), ocic: board-discretionary share repurchases, pflex: Rule 23c-3 OBLIGATION (board cannot skip a window)]</w:t>
      </w:r>
    </w:p>
    <w:p>
      <w:pPr>
        <w:pStyle w:val="ListBullet"/>
      </w:pPr>
      <w:r>
        <w:t>NAV-CADENCE MIX: daily, monthly, and quarterly NAV processes embed different appraisal smoothing. Volatility and drawdown comparisons inherit that difference (see de-smoothing lab). [typed per product: bcred: monthly, cion_ares: daily, cliffwater_cclfx: daily, ocic: quarterly, pflex: daily]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Global management-consulting firm profit-sharing/401(k) plan (~$9.8B, NY).</w:t>
      </w:r>
    </w:p>
    <w:p>
      <w:pPr>
        <w:pStyle w:val="Heading1"/>
      </w:pPr>
      <w:r>
        <w:t>Provenance</w:t>
      </w:r>
    </w:p>
    <w:p>
      <w:r>
        <w:t>Cell status for this product: structured 0, extracted-unverified 26, verified 0, computed 9, partial 4, fetched 1, n/a 14,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Sponsor name NEVER appears on demo surfaces. Data is public (DOL Form 5500 FOIA files); anonymization is a project display rule, not a legal requirement.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