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Blackstone Real Estate Income Trust Inc (non-traded REIT ('34 Act reporting), CIK 1662972)</w:t>
        <w:br/>
      </w:r>
      <w:r>
        <w:t>Record as of 2026-09-04. DRAFT, generated by the build from the record. The decision memo for the same plan and product is a separate document.</w:t>
      </w:r>
    </w:p>
    <w:p>
      <w:pPr>
        <w:pStyle w:val="Heading1"/>
      </w:pPr>
      <w:r>
        <w:t>Summary</w:t>
      </w:r>
    </w:p>
    <w:p>
      <w:r>
        <w:t>Structural liquidity verdict: CONDITIONAL-WEAK (typed facts, plan-independent). Scenario verdict under this plan (ILLUSTRATIVE, default sliders): CONDITIONAL-WEAK.</w:t>
      </w:r>
    </w:p>
    <w:p>
      <w:r>
        <w:t>Benchmark: Listed REIT investable proxy (VNQ) at 9/12, KS-PME 0.9064, Direct Alpha -3.22%/yr over 2022-12-31 to 2025-12-31.</w:t>
      </w:r>
    </w:p>
    <w:p>
      <w:r>
        <w:t>Flags raised by the record (each restates a typed value or verdict, with its source):</w:t>
      </w:r>
    </w:p>
    <w:p>
      <w:pPr>
        <w:pStyle w:val="ListBullet"/>
      </w:pPr>
      <w:r>
        <w:t>Liquidity: gating precedent, repurchases prorated under stress (cell 3.3)</w:t>
      </w:r>
    </w:p>
    <w:p>
      <w:pPr>
        <w:pStyle w:val="ListBullet"/>
      </w:pPr>
      <w:r>
        <w:t>Liquidity: ILLUSTRATIVE scenario verdict conditional-weak under this plan (base or stressed demand above wrapper capacity)</w:t>
      </w:r>
    </w:p>
    <w:p>
      <w:r>
        <w:t>Evidence coverage: 42 of 42 resolvable, 0 verified, 12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Listed REIT investable proxy (VNQ)</w:t>
            </w:r>
          </w:p>
        </w:tc>
        <w:tc>
          <w:tcPr>
            <w:tcW w:type="dxa" w:w="864"/>
          </w:tcPr>
          <w:p>
            <w:r>
              <w:t>9/12</w:t>
            </w:r>
          </w:p>
        </w:tc>
        <w:tc>
          <w:tcPr>
            <w:tcW w:type="dxa" w:w="3888"/>
          </w:tcPr>
          <w:p>
            <w:r>
              <w:t>KS-PME 0.9064, Direct Alpha -3.22%/yr, 2022-12-31 to 2025-12-31</w:t>
            </w:r>
          </w:p>
        </w:tc>
      </w:tr>
      <w:tr>
        <w:tc>
          <w:tcPr>
            <w:tcW w:type="dxa" w:w="1152"/>
          </w:tcPr>
          <w:p>
            <w:r>
              <w:t>secondary</w:t>
            </w:r>
          </w:p>
        </w:tc>
        <w:tc>
          <w:tcPr>
            <w:tcW w:type="dxa" w:w="3456"/>
          </w:tcPr>
          <w:p>
            <w:r>
              <w:t>NCREIF Fund Index - ODCE (private core RE)</w:t>
            </w:r>
          </w:p>
        </w:tc>
        <w:tc>
          <w:tcPr>
            <w:tcW w:type="dxa" w:w="864"/>
          </w:tcPr>
          <w:p>
            <w:r>
              <w:t>7/12</w:t>
            </w:r>
          </w:p>
        </w:tc>
        <w:tc>
          <w:tcPr>
            <w:tcW w:type="dxa" w:w="3888"/>
          </w:tcPr>
          <w:p>
            <w:r>
              <w:t>selected</w:t>
            </w:r>
          </w:p>
        </w:tc>
      </w:tr>
      <w:tr>
        <w:tc>
          <w:tcPr>
            <w:tcW w:type="dxa" w:w="1152"/>
          </w:tcPr>
          <w:p>
            <w:r>
              <w:t>rejected</w:t>
            </w:r>
          </w:p>
        </w:tc>
        <w:tc>
          <w:tcPr>
            <w:tcW w:type="dxa" w:w="3456"/>
          </w:tcPr>
          <w:p>
            <w:r>
              <w:t>Cambridge Associates Real Estate benchmark</w:t>
            </w:r>
          </w:p>
        </w:tc>
        <w:tc>
          <w:tcPr>
            <w:tcW w:type="dxa" w:w="864"/>
          </w:tcPr>
          <w:p>
            <w:r>
              <w:t>7/12</w:t>
            </w:r>
          </w:p>
        </w:tc>
        <w:tc>
          <w:tcPr>
            <w:tcW w:type="dxa" w:w="3888"/>
          </w:tcPr>
          <w:p>
            <w:r>
              <w:t>outranked: score 7/12 vs primary 9/12 and secondary 7/12 (only two slots). Retained in log as viable alternate</w:t>
            </w:r>
          </w:p>
        </w:tc>
      </w:tr>
      <w:tr>
        <w:tc>
          <w:tcPr>
            <w:tcW w:type="dxa" w:w="1152"/>
          </w:tcPr>
          <w:p>
            <w:r>
              <w:t>rejected</w:t>
            </w:r>
          </w:p>
        </w:tc>
        <w:tc>
          <w:tcPr>
            <w:tcW w:type="dxa" w:w="3456"/>
          </w:tcPr>
          <w:p>
            <w:r>
              <w:t>Peer cohort composite: nontraded_reit without breit (jll_ipt, sreit)</w:t>
            </w:r>
          </w:p>
        </w:tc>
        <w:tc>
          <w:tcPr>
            <w:tcW w:type="dxa" w:w="864"/>
          </w:tcPr>
          <w:p>
            <w:r>
              <w:t>4/12</w:t>
            </w:r>
          </w:p>
        </w:tc>
        <w:tc>
          <w:tcPr>
            <w:tcW w:type="dxa" w:w="3888"/>
          </w:tcPr>
          <w:p>
            <w:r>
              <w:t>score 4/12 below primary threshold 7</w:t>
            </w:r>
          </w:p>
        </w:tc>
      </w:tr>
    </w:tbl>
    <w:p>
      <w:pPr>
        <w:pStyle w:val="Heading1"/>
      </w:pPr>
      <w:r>
        <w:t>Exhibit B.</w:t>
      </w:r>
    </w:p>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CONDITIONAL-WEAK</w:t>
      </w:r>
    </w:p>
    <w:p>
      <w:pPr>
        <w:pStyle w:val="ListBullet"/>
      </w:pPr>
      <w:r>
        <w:t>STRUCTURAL GAP (narrowed): this plan is PARTIALLY participant-directed per its own Form 5500 codes (2H, no 2G/404(c) code filed). A trustee-directed sleeve could hold this wrapper directly, and the daily-menu constraint (this wrapper deals 12x/year) applies only to the participant-directed portion (cell 3.5).</w:t>
      </w:r>
    </w:p>
    <w:p>
      <w:pPr>
        <w:pStyle w:val="ListBullet"/>
      </w:pPr>
      <w:r>
        <w:t>Gating precedent: this issuer has prorated repurchases when requests exceeded caps (3.3). Capacity on paper has failed in stress before.</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nontraded_reit</w:t>
            </w:r>
          </w:p>
        </w:tc>
        <w:tc>
          <w:tcPr>
            <w:tcW w:type="dxa" w:w="1152"/>
          </w:tcPr>
          <w:p>
            <w:r>
              <w:t>6.1</w:t>
            </w:r>
          </w:p>
        </w:tc>
      </w:tr>
      <w:tr>
        <w:tc>
          <w:tcPr>
            <w:tcW w:type="dxa" w:w="2448"/>
          </w:tcPr>
          <w:p>
            <w:r>
              <w:t>Dealing cadence per year</w:t>
            </w:r>
          </w:p>
        </w:tc>
        <w:tc>
          <w:tcPr>
            <w:tcW w:type="dxa" w:w="5760"/>
          </w:tcPr>
          <w:p>
            <w:r>
              <w:t>12</w:t>
            </w:r>
          </w:p>
        </w:tc>
        <w:tc>
          <w:tcPr>
            <w:tcW w:type="dxa" w:w="1152"/>
          </w:tcPr>
          <w:p>
            <w:r>
              <w:t>3.1</w:t>
            </w:r>
          </w:p>
        </w:tc>
      </w:tr>
      <w:tr>
        <w:tc>
          <w:tcPr>
            <w:tcW w:type="dxa" w:w="2448"/>
          </w:tcPr>
          <w:p>
            <w:r>
              <w:t>Repurchase cap</w:t>
            </w:r>
          </w:p>
        </w:tc>
        <w:tc>
          <w:tcPr>
            <w:tcW w:type="dxa" w:w="5760"/>
          </w:tcPr>
          <w:p>
            <w:r>
              <w:t>2% of aggregate nav</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24%.</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12x per year at 2% of aggregate nav: at most 24% of the position per year. This is a FUND-level cap shared by every holder, so the plan's position is served only while offers are not oversubscribed.</w:t>
      </w:r>
    </w:p>
    <w:p>
      <w:pPr>
        <w:pStyle w:val="ListBullet"/>
      </w:pPr>
      <w:r>
        <w:t>Scenario demand (illustrative): 13.7% of the position per year vs 24% annual wrapper capacity. Adequate headroom at this allocation if offers are not prorated.</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partial</w:t>
            </w:r>
          </w:p>
        </w:tc>
        <w:tc>
          <w:tcPr>
            <w:tcW w:type="dxa" w:w="2880"/>
          </w:tcPr>
          <w:p>
            <w:r>
              <w:t>partial</w:t>
            </w:r>
          </w:p>
        </w:tc>
      </w:tr>
      <w:tr>
        <w:tc>
          <w:tcPr>
            <w:tcW w:type="dxa" w:w="2880"/>
          </w:tcPr>
          <w:p>
            <w:r>
              <w:t>2.3 Total expense ratio &amp; waivers</w:t>
            </w:r>
          </w:p>
        </w:tc>
        <w:tc>
          <w:tcPr>
            <w:tcW w:type="dxa" w:w="3600"/>
          </w:tcPr>
          <w:p>
            <w:r>
              <w:t>n/a</w:t>
            </w:r>
          </w:p>
        </w:tc>
        <w:tc>
          <w:tcPr>
            <w:tcW w:type="dxa" w:w="2880"/>
          </w:tcPr>
          <w:p>
            <w:r>
              <w:t>n/a - not publicly available: no TER disclosure exists for a '34-Act REIT (10-K prints no expense ratio - zero hits in FY2025 10-K and Q2 2026 10-Q); fee burden components extracted in 2.1/2.2/2.6</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partial</w:t>
            </w:r>
          </w:p>
        </w:tc>
        <w:tc>
          <w:tcPr>
            <w:tcW w:type="dxa" w:w="2880"/>
          </w:tcPr>
          <w:p>
            <w:r>
              <w:t>partial</w:t>
            </w:r>
          </w:p>
        </w:tc>
      </w:tr>
    </w:tbl>
    <w:p>
      <w:pPr>
        <w:pStyle w:val="Heading1"/>
      </w:pPr>
      <w:r>
        <w:t>Exhibit D. Peer cohort placement</w:t>
      </w:r>
    </w:p>
    <w:p>
      <w:r>
        <w:t>Cohort Non-traded NAV REITs (n=3). Non-traded monthly-NAV REIT with 2%/5% repurchase plan - the cohort's reference member.</w:t>
      </w:r>
    </w:p>
    <w:p>
      <w:r>
        <w:t>Cohort placement (nontraded_reit, R4 phrasing): mgmt fee: at the cohort median of 1.25 (n=3, too small for percentile language) | expense ratio (bases differ, see notes): fact unavailable for this member | repurchase cap: at the cohort median of 2 (n=3, too small for percentile language). Stats and per-member values in data/cohorts/nontraded_reit.json, membership rationales in data/facts.</w:t>
      </w:r>
    </w:p>
    <w:p>
      <w:pPr>
        <w:pStyle w:val="ListBullet"/>
      </w:pPr>
      <w:r>
        <w:t>NAV-CADENCE MIX: daily, monthly, and quarterly NAV processes embed different appraisal smoothing. Volatility and drawdown comparisons inherit that difference (see de-smoothing lab). [typed per product: breit: monthly, jll_ipt: daily, sreit: monthly]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20, verified 0, computed 13, partial 8, fetched 1, n/a 12,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