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CION Ares Diversified Credit Fund (interval fund (Rule 23c-3, quarterly repurchases), CIK 1678124)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CONDITIONAL-WEAK.</w:t>
      </w:r>
    </w:p>
    <w:p>
      <w:r>
        <w:t>Benchmark: Peer cohort composite: private_credit without cion_ares (bcred, cliffwater_cclfx, ocic, pflex) at 9/12, KS-PME 0.9461, Direct Alpha -1.1%/yr over FY2021 to FY2025.</w:t>
      </w:r>
    </w:p>
    <w:p>
      <w:r>
        <w:t>Flags raised by the record (each restates a typed value or verdict, with its source):</w:t>
      </w:r>
    </w:p>
    <w:p>
      <w:pPr>
        <w:pStyle w:val="ListBullet"/>
      </w:pPr>
      <w:r>
        <w:t>Liquidity: ILLUSTRATIVE scenario verdict conditional-weak under this plan (base or stressed demand above wrapper capacity)</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private_credit without cion_ares (bcred, cliffwater_cclfx, ocic, pflex)</w:t>
            </w:r>
          </w:p>
        </w:tc>
        <w:tc>
          <w:tcPr>
            <w:tcW w:type="dxa" w:w="864"/>
          </w:tcPr>
          <w:p>
            <w:r>
              <w:t>9/12</w:t>
            </w:r>
          </w:p>
        </w:tc>
        <w:tc>
          <w:tcPr>
            <w:tcW w:type="dxa" w:w="3888"/>
          </w:tcPr>
          <w:p>
            <w:r>
              <w:t>KS-PME 0.9461, Direct Alpha -1.1%/yr,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1.1374, Direct Alpha 1.62%/yr, 2018-07-18 to 2026-07-17</w:t>
            </w:r>
          </w:p>
        </w:tc>
      </w:tr>
      <w:tr>
        <w:tc>
          <w:tcPr>
            <w:tcW w:type="dxa" w:w="1152"/>
          </w:tcPr>
          <w:p>
            <w:r>
              <w:t>rejected</w:t>
            </w:r>
          </w:p>
        </w:tc>
        <w:tc>
          <w:tcPr>
            <w:tcW w:type="dxa" w:w="3456"/>
          </w:tcPr>
          <w:p>
            <w:r>
              <w:t>Cliffwater Direct Lending Index (CDLI)</w:t>
            </w:r>
          </w:p>
        </w:tc>
        <w:tc>
          <w:tcPr>
            <w:tcW w:type="dxa" w:w="864"/>
          </w:tcPr>
          <w:p>
            <w:r>
              <w:t>6/12</w:t>
            </w:r>
          </w:p>
        </w:tc>
        <w:tc>
          <w:tcPr>
            <w:tcW w:type="dxa" w:w="3888"/>
          </w:tcPr>
          <w:p>
            <w:r>
              <w:t>score 6/12 below primary threshold 7</w:t>
            </w:r>
          </w:p>
        </w:tc>
      </w:tr>
      <w:tr>
        <w:tc>
          <w:tcPr>
            <w:tcW w:type="dxa" w:w="1152"/>
          </w:tcPr>
          <w:p>
            <w:r>
              <w:t>rejected</w:t>
            </w:r>
          </w:p>
        </w:tc>
        <w:tc>
          <w:tcPr>
            <w:tcW w:type="dxa" w:w="3456"/>
          </w:tcPr>
          <w:p>
            <w:r>
              <w:t>Credit Suisse Leveraged Loan Index (CSLLI)</w:t>
            </w:r>
          </w:p>
        </w:tc>
        <w:tc>
          <w:tcPr>
            <w:tcW w:type="dxa" w:w="864"/>
          </w:tcPr>
          <w:p>
            <w:r>
              <w:t>5/12</w:t>
            </w:r>
          </w:p>
        </w:tc>
        <w:tc>
          <w:tcPr>
            <w:tcW w:type="dxa" w:w="3888"/>
          </w:tcPr>
          <w:p>
            <w:r>
              <w:t>score 5/12 below primary threshold 7</w:t>
            </w:r>
          </w:p>
        </w:tc>
      </w:tr>
    </w:tbl>
    <w:p>
      <w:pPr>
        <w:pStyle w:val="Heading1"/>
      </w:pPr>
      <w:r>
        <w:t>Exhibit B.</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managed assets (leverage-inclusive)</w:t>
            </w:r>
          </w:p>
        </w:tc>
        <w:tc>
          <w:tcPr>
            <w:tcW w:type="dxa" w:w="2880"/>
          </w:tcPr>
          <w:p>
            <w:r>
              <w:t>extracted-unverified</w:t>
            </w:r>
          </w:p>
        </w:tc>
      </w:tr>
      <w:tr>
        <w:tc>
          <w:tcPr>
            <w:tcW w:type="dxa" w:w="2880"/>
          </w:tcPr>
          <w:p>
            <w:r>
              <w:t>2.2 Incentive fee terms</w:t>
            </w:r>
          </w:p>
        </w:tc>
        <w:tc>
          <w:tcPr>
            <w:tcW w:type="dxa" w:w="3600"/>
          </w:tcPr>
          <w:p>
            <w:r>
              <w:t>incentive fee: 15% / 6% hurdle</w:t>
            </w:r>
          </w:p>
        </w:tc>
        <w:tc>
          <w:tcPr>
            <w:tcW w:type="dxa" w:w="2880"/>
          </w:tcPr>
          <w:p>
            <w:r>
              <w:t>extracted-unverified</w:t>
            </w:r>
          </w:p>
        </w:tc>
      </w:tr>
      <w:tr>
        <w:tc>
          <w:tcPr>
            <w:tcW w:type="dxa" w:w="2880"/>
          </w:tcPr>
          <w:p>
            <w:r>
              <w:t>2.3 Total expense ratio &amp; waivers</w:t>
            </w:r>
          </w:p>
        </w:tc>
        <w:tc>
          <w:tcPr>
            <w:tcW w:type="dxa" w:w="3600"/>
          </w:tcPr>
          <w:p>
            <w:r>
              <w:t>3.76% net expense ratio</w:t>
            </w:r>
          </w:p>
        </w:tc>
        <w:tc>
          <w:tcPr>
            <w:tcW w:type="dxa" w:w="2880"/>
          </w:tcPr>
          <w:p>
            <w:r>
              <w:t>extracted-unverified</w:t>
            </w:r>
          </w:p>
        </w:tc>
      </w:tr>
      <w:tr>
        <w:tc>
          <w:tcPr>
            <w:tcW w:type="dxa" w:w="2880"/>
          </w:tcPr>
          <w:p>
            <w:r>
              <w:t>2.4 AFFE</w:t>
            </w:r>
          </w:p>
        </w:tc>
        <w:tc>
          <w:tcPr>
            <w:tcW w:type="dxa" w:w="3600"/>
          </w:tcPr>
          <w:p>
            <w:r>
              <w:t>n/a</w:t>
            </w:r>
          </w:p>
        </w:tc>
        <w:tc>
          <w:tcPr>
            <w:tcW w:type="dxa" w:w="2880"/>
          </w:tcPr>
          <w:p>
            <w:r>
              <w:t>n/a - documented-unavailable</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(private_credit, R4 phrasing): mgmt fee: 50th percentile of cohort (n=5), at the median of 1.25 | expense ratio (bases differ, see notes): 50th percentile of cohort (n=5), at the median of 3.76 | repurchase cap: 50th percentile of cohort (n=5), at the median of 5. Stats and per-member values in data/cohorts/private_credit.json, membership rationales in data/facts.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1, extracted-unverified 22, verified 0, computed 10, partial 11, fetched 0,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