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Global management-consulting firm profit-sharing/401(k) plan (~$9.8B, NY)</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Benchmark: Peer cohort composite: private_credit without cliffwater_cclfx (bcred, cion_ares, ocic, pflex) at 10/12, KS-PME 0.9756, Direct Alpha -0.61%/yr over FY2021 to FY2025.</w:t>
      </w:r>
    </w:p>
    <w:p>
      <w:r>
        <w:t>Flags raised by the record (each restates a typed value or verdict, with its source):</w:t>
      </w:r>
    </w:p>
    <w:p>
      <w:pPr>
        <w:pStyle w:val="ListBullet"/>
      </w:pPr>
      <w:r>
        <w:t>Liquidity: structural verdict partial, facts missing: gate_history (cells 3.1, 3.3)</w:t>
      </w:r>
    </w:p>
    <w:p>
      <w:pPr>
        <w:pStyle w:val="ListBullet"/>
      </w:pPr>
      <w:r>
        <w:t>Liquidity: ILLUSTRATIVE scenario verdict conditional-weak under this plan (base or stressed demand above wrapper capacity)</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10/12.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cohort composite: private_credit without cliffwater_cclfx (bcred, cion_ares, ocic, pflex)</w:t>
            </w:r>
          </w:p>
        </w:tc>
        <w:tc>
          <w:tcPr>
            <w:tcW w:type="dxa" w:w="864"/>
          </w:tcPr>
          <w:p>
            <w:r>
              <w:t>10/12</w:t>
            </w:r>
          </w:p>
        </w:tc>
        <w:tc>
          <w:tcPr>
            <w:tcW w:type="dxa" w:w="3888"/>
          </w:tcPr>
          <w:p>
            <w:r>
              <w:t>KS-PME 0.9756, Direct Alpha -0.61%/yr,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1.2532, Direct Alpha 3.22%/yr, 2019-06-05 to 2026-07-17</w:t>
            </w:r>
          </w:p>
        </w:tc>
      </w:tr>
      <w:tr>
        <w:tc>
          <w:tcPr>
            <w:tcW w:type="dxa" w:w="1152"/>
          </w:tcPr>
          <w:p>
            <w:r>
              <w:t>rejected</w:t>
            </w:r>
          </w:p>
        </w:tc>
        <w:tc>
          <w:tcPr>
            <w:tcW w:type="dxa" w:w="3456"/>
          </w:tcPr>
          <w:p>
            <w:r>
              <w:t>Cliffwater Direct Lending Index (CDLI)</w:t>
            </w:r>
          </w:p>
        </w:tc>
        <w:tc>
          <w:tcPr>
            <w:tcW w:type="dxa" w:w="864"/>
          </w:tcPr>
          <w:p>
            <w:r>
              <w:t>5/12</w:t>
            </w:r>
          </w:p>
        </w:tc>
        <w:tc>
          <w:tcPr>
            <w:tcW w:type="dxa" w:w="3888"/>
          </w:tcPr>
          <w:p>
            <w:r>
              <w:t>score 5/12 below primary threshold 7</w:t>
            </w:r>
          </w:p>
        </w:tc>
      </w:tr>
    </w:tbl>
    <w:p>
      <w:pPr>
        <w:pStyle w:val="Heading1"/>
      </w:pPr>
      <w:r>
        <w:t>Exhibit B.</w:t>
      </w:r>
    </w:p>
    <w:p>
      <w:pPr>
        <w:pStyle w:val="Heading1"/>
      </w:pPr>
      <w:r>
        <w:t>Product-to-plan liquidity match</w:t>
      </w:r>
    </w:p>
    <w:p>
      <w:r>
        <w:t>Plan: Global management-consulting firm profit-sharing/401(k) plan (~$9.8B, NY).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(narrowed): this plan is PARTIALLY participant-directed per its own Form 5500 codes (2H, no 2G/404(c) code filed). A trustee-directed sleeve could hold this wrapper directly, and the daily-menu constraint (this wrapper deals 4x/year) applies only to the participant-directed portion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interval_23c3</w:t>
            </w:r>
          </w:p>
        </w:tc>
        <w:tc>
          <w:tcPr>
            <w:tcW w:type="dxa" w:w="1152"/>
          </w:tcPr>
          <w:p>
            <w:r>
              <w:t>6.1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outstanding shares</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$9.8B, liquidity tail 58.2% of accounts (20,253 separated participants with balances).</w:t>
      </w:r>
    </w:p>
    <w:p>
      <w:r>
        <w:t>Parameters (adjustable on the site, not facts): allocation 5% of plan = $490.5M, tail turnover 20%/yr, active turnover 5%/yr. Base demand $67.3M/yr = 13.7% of the position vs annual wrapper capacity 20%.</w:t>
      </w:r>
    </w:p>
    <w:p>
      <w:r>
        <w:t>Stressed (tail turnover x2, active turnover x1.5 vs base scenario): demand $129.5M/yr = 26.4% of the position. EXCEEDS annual wrapper capacity. Unmet demand rolls into later windows (gating-equivalent outcome).</w:t>
      </w:r>
    </w:p>
    <w:p>
      <w:r>
        <w:t>Scenario verdict (ILLUSTRATIVE, this plan): CONDITIONAL-WEAK.</w:t>
      </w:r>
    </w:p>
    <w:p>
      <w:pPr>
        <w:pStyle w:val="ListBullet"/>
      </w:pPr>
      <w:r>
        <w:t>Capacity: 4x per year at 5% of outstanding shares: at most 20% of the position per year. This is a FUND-level cap shared by every holder, so the plan's position is served only while offers are not oversubscribed.</w:t>
      </w:r>
    </w:p>
    <w:p>
      <w:pPr>
        <w:pStyle w:val="ListBullet"/>
      </w:pPr>
      <w:r>
        <w:t>Scenario demand (illustrative): 13.7% of the position per year vs 20% annual wrapper capacity. THIN HEADROOM: demand consumes over 60% of wrapper capacity, so proration in any oversubscribed quarter would push the shortfall into the next window.</w:t>
      </w:r>
    </w:p>
    <w:p>
      <w:pPr>
        <w:pStyle w:val="ListBullet"/>
      </w:pPr>
      <w:r>
        <w:t>Scenario verdict (ILLUSTRATIVE, this plan): conditional-weak.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plan_consulting_alumni.json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partial</w:t>
            </w:r>
          </w:p>
        </w:tc>
        <w:tc>
          <w:tcPr>
            <w:tcW w:type="dxa" w:w="2880"/>
          </w:tcPr>
          <w:p>
            <w:r>
              <w:t>partial</w:t>
            </w:r>
          </w:p>
        </w:tc>
      </w:tr>
      <w:tr>
        <w:tc>
          <w:tcPr>
            <w:tcW w:type="dxa" w:w="2880"/>
          </w:tcPr>
          <w:p>
            <w:r>
              <w:t>2.3 Total expense ratio &amp; waivers</w:t>
            </w:r>
          </w:p>
        </w:tc>
        <w:tc>
          <w:tcPr>
            <w:tcW w:type="dxa" w:w="3600"/>
          </w:tcPr>
          <w:p>
            <w:r>
              <w:t>1.36% net expense ratio</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(private_credit, R4 phrasing): mgmt fee: 10th percentile of cohort (n=5), below the median of 1.25 | expense ratio (bases differ, see notes): 10th percentile of cohort (n=5), below the median of 3.76 | repurchase cap: 50th percentile of cohort (n=5), at the median of 5. Stats and per-member values in data/cohorts/private_credit.json, membership rationales in data/facts.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w:t>
      </w:r>
    </w:p>
    <w:p>
      <w:pPr>
        <w:pStyle w:val="Heading1"/>
      </w:pPr>
      <w:r>
        <w:t>Provenance</w:t>
      </w:r>
    </w:p>
    <w:p>
      <w:r>
        <w:t>Cell status for this product: structured 0, extracted-unverified 23, verified 0, computed 12,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