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0.98, Direct Alpha -0.61%/yr.</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Ann vol (observed, monthly adj-close) 2.07% full-history / 2.11% to FYE; ann return 7.91% / 7.98%.</w:t>
            </w:r>
          </w:p>
          <w:p>
            <w:r>
              <w:t>1.7 De-smoothed volatility (computed): Geltner de-smoothed ann vol 2.39% (rho 0.139) / 2.45% to FYE.</w:t>
            </w:r>
          </w:p>
          <w:p>
            <w:r>
              <w:t>1.8 Risk-adjusted metrics (PME etc) (computed): KS-PME 0.9756 and Direct Alpha -0.61%/yr vs Peer cohort composite: private_credit without cliffwater_cclfx (bcred, cion_ares, ocic, pflex) over FY2021 to FY2025 (composite comparison, 4 overlapping fiscal year(s) of 5 composite years).</w:t>
            </w:r>
          </w:p>
          <w:p>
            <w:r>
              <w:t>1.9 Stress-window performance (computed): Computed stress-window performance from data/series/cclfx.csv (adjusted close, distributions reinvested).</w:t>
            </w:r>
          </w:p>
          <w:p>
            <w:r>
              <w:t>1.11 Track record &amp; manager tenure (extracted-unverified): Named Portfolio Managers (prospectus 'PORTFOLIO MANAGERS' section): Stephen L.</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net expense ratio.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(private_credit, R4 phrasing):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outstanding shares. 3.9 verdict varies by plan: conditional, conditional-weak.</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w:t>
            </w:r>
          </w:p>
          <w:p>
            <w:r>
              <w:t>3.4 Portfolio liquidity profile (extracted-unverified): As of March 31, 2026 (N-CSR): fair value hierarchy table — Level 3 investments $27,306,832,701 of $39,962,131,663 total investments at fair value, plus $11,508,152,570 measured at NAV as practical expedient; Level 1 $547,782,011 (incl.</w:t>
            </w:r>
          </w:p>
          <w:p>
            <w:r>
              <w:t>3.6 Fund leverage &amp; facilities (partial): Senior secured notes + revolving credit facility; $39.96B of holdings pledged as collateral at 3/31/2026 (vs $31.26B net assets -&gt; roughly $8-9B leverage implied).</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files under data/raw/cliffwater_cclfx/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peer_credit selected, 10/12.</w:t>
            </w:r>
          </w:p>
          <w:p>
            <w:r>
              <w:t>5.1 Self-declared benchmark (extracted-unverified): CORRECTED per crosscheck: the fund EXPRESSLY DECLARES NO designated performance benchmark.</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cliffwater_cclfx (bcred, cion_ares, ocic, pflex)): window FY2021 to FY2025 (composite comparison, 4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private_credit without cliffwater_cclfx (bcred, cion_ares, ocic, pflex) (score 10/12)</w:t>
      </w:r>
    </w:p>
    <w:p>
      <w:r>
        <w:t>Window FY2021 to FY2025 (4 overlapping fiscal year(s) of 5 composite years): fund 10.57%/yr vs benchmark 11.25%/yr, KS-PME 0.9756, Direct Alpha -0.61%/yr.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2019-06-05 to 2026-07-17: fund 7.89%/yr vs benchmark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5/12</w:t>
            </w:r>
          </w:p>
        </w:tc>
        <w:tc>
          <w:tcPr>
            <w:tcW w:type="dxa" w:w="4752"/>
          </w:tcPr>
          <w:p>
            <w:r>
              <w:t>score 5/12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(private_credit, R4 phrasing): mgmt fee: 10th percentile of cohort (n=5), below the median of 1.25 | expense ratio (bases differ, see notes): 10th percentile of cohort (n=5), below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CONDITIONAL-WEAK.</w:t>
      </w:r>
    </w:p>
    <w:p>
      <w:r>
        <w:t>Benchmark: Peer cohort composite: private_credit without cliffwater_cclfx (bcred, cion_ares, ocic,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12, partial 7, fetched 2, n/a 10, pending 0. 44 of 44 resolvable, 0 verified, 10 n/a by wrapper.</w:t>
      </w:r>
    </w:p>
    <w:p>
      <w:r>
        <w:t>Of the 42 evidenced cells, 42 carry a source document, 41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data/analytics/metrics.json</w:t>
            </w:r>
          </w:p>
        </w:tc>
        <w:tc>
          <w:tcPr>
            <w:tcW w:type="dxa" w:w="5184"/>
          </w:tcPr>
          <w:p>
            <w:r>
              <w:t>accession not on record: no filing reference in the source field</w:t>
            </w:r>
          </w:p>
        </w:tc>
      </w:tr>
      <w:tr>
        <w:tc>
          <w:tcPr>
            <w:tcW w:type="dxa" w:w="720"/>
          </w:tcPr>
          <w:p>
            <w:r>
              <w:t>1.7</w:t>
            </w:r>
          </w:p>
        </w:tc>
        <w:tc>
          <w:tcPr>
            <w:tcW w:type="dxa" w:w="3456"/>
          </w:tcPr>
          <w:p>
            <w:r>
              <w:t>data/analytics/metrics.json</w:t>
            </w:r>
          </w:p>
        </w:tc>
        <w:tc>
          <w:tcPr>
            <w:tcW w:type="dxa" w:w="5184"/>
          </w:tcPr>
          <w:p>
            <w:r>
              <w:t>accession not on record: no filing reference in the source field</w:t>
            </w:r>
          </w:p>
        </w:tc>
      </w:tr>
      <w:tr>
        <w:tc>
          <w:tcPr>
            <w:tcW w:type="dxa" w:w="720"/>
          </w:tcPr>
          <w:p>
            <w:r>
              <w:t>1.8</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data/raw/cliffwater_cclfx/);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data/liquidity/plan_consulting_alumni__cliffwater_cclfx_match.json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data/liquidity/plan_consulting_alumni__cliffwater_cclfx_match.json</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5.6</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