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Destiny Tech100 Inc (listed closed-end fund (NYSE: DXYZ), CIK 1843974)</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Peer cohort composite: venture without dxyz (arkvx, ssss)</w:t>
            </w:r>
          </w:p>
        </w:tc>
        <w:tc>
          <w:tcPr>
            <w:tcW w:type="dxa" w:w="864"/>
          </w:tcPr>
          <w:p>
            <w:r>
              <w:t>4/12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NASDAQ Composite Index</w:t>
            </w:r>
          </w:p>
        </w:tc>
        <w:tc>
          <w:tcPr>
            <w:tcW w:type="dxa" w:w="864"/>
          </w:tcPr>
          <w:p>
            <w:r>
              <w:t>3/12</w:t>
            </w:r>
          </w:p>
        </w:tc>
        <w:tc>
          <w:tcPr>
            <w:tcW w:type="dxa" w:w="3888"/>
          </w:tcPr>
          <w:p>
            <w:r>
              <w:t>fund price is premium/discount-driven and decoupled from NAV. Benchmarking the price benchmarks the premium, not the portfolio</w:t>
            </w:r>
          </w:p>
        </w:tc>
      </w:tr>
    </w:tbl>
    <w:p>
      <w:pPr>
        <w:pStyle w:val="Heading1"/>
      </w:pPr>
      <w:r>
        <w:t>Exhibit B.</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listed_cef</w:t>
            </w:r>
          </w:p>
        </w:tc>
        <w:tc>
          <w:tcPr>
            <w:tcW w:type="dxa" w:w="1152"/>
          </w:tcPr>
          <w:p>
            <w:r>
              <w:t>6.1</w:t>
            </w:r>
          </w:p>
        </w:tc>
      </w:tr>
      <w:tr>
        <w:tc>
          <w:tcPr>
            <w:tcW w:type="dxa" w:w="2448"/>
          </w:tcPr>
          <w:p>
            <w:r>
              <w:t>Dealing cadence per year</w:t>
            </w:r>
          </w:p>
        </w:tc>
        <w:tc>
          <w:tcPr>
            <w:tcW w:type="dxa" w:w="5760"/>
          </w:tcPr>
          <w:p>
            <w:r>
              <w:t>252</w:t>
            </w:r>
          </w:p>
        </w:tc>
        <w:tc>
          <w:tcPr>
            <w:tcW w:type="dxa" w:w="1152"/>
          </w:tcPr>
          <w:p>
            <w:r>
              <w:t>3.1</w:t>
            </w:r>
          </w:p>
        </w:tc>
      </w:tr>
      <w:tr>
        <w:tc>
          <w:tcPr>
            <w:tcW w:type="dxa" w:w="2448"/>
          </w:tcPr>
          <w:p>
            <w:r>
              <w:t>Repurchase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not applicable (exchange-traded).</w:t>
      </w:r>
    </w:p>
    <w:p>
      <w:r>
        <w:t>Stressed (tail turnover x2, active turnover x1.5 vs base scenario): demand $129.5M/yr = 26.4%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cell 3.5, cell 3.7, cell 3.9, cell 2.7,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2.50% on gross assets incl. borrowings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4.53% net expense ratio</w:t>
            </w:r>
          </w:p>
        </w:tc>
        <w:tc>
          <w:tcPr>
            <w:tcW w:type="dxa" w:w="2880"/>
          </w:tcPr>
          <w:p>
            <w:r>
              <w:t>extracted-unverified</w:t>
            </w:r>
          </w:p>
        </w:tc>
      </w:tr>
      <w:tr>
        <w:tc>
          <w:tcPr>
            <w:tcW w:type="dxa" w:w="2880"/>
          </w:tcPr>
          <w:p>
            <w:r>
              <w:t>2.4 AFFE</w:t>
            </w:r>
          </w:p>
        </w:tc>
        <w:tc>
          <w:tcPr>
            <w:tcW w:type="dxa" w:w="3600"/>
          </w:tcPr>
          <w:p>
            <w:r>
              <w:t>AFFE 0.03%</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n/a</w:t>
            </w:r>
          </w:p>
        </w:tc>
        <w:tc>
          <w:tcPr>
            <w:tcW w:type="dxa" w:w="2880"/>
          </w:tcPr>
          <w:p>
            <w:r>
              <w:t>n/a - no early-repurchase fee (exchange-traded)</w:t>
            </w:r>
          </w:p>
        </w:tc>
      </w:tr>
      <w:tr>
        <w:tc>
          <w:tcPr>
            <w:tcW w:type="dxa" w:w="2880"/>
          </w:tcPr>
          <w:p>
            <w:r>
              <w:t>6.4 Tax reporting (1099 vs K-1)</w:t>
            </w:r>
          </w:p>
        </w:tc>
        <w:tc>
          <w:tcPr>
            <w:tcW w:type="dxa" w:w="3600"/>
          </w:tcPr>
          <w:p>
            <w:r>
              <w:t>partial</w:t>
            </w:r>
          </w:p>
        </w:tc>
        <w:tc>
          <w:tcPr>
            <w:tcW w:type="dxa" w:w="2880"/>
          </w:tcPr>
          <w:p>
            <w:r>
              <w:t>partial</w:t>
            </w:r>
          </w:p>
        </w:tc>
      </w:tr>
    </w:tbl>
    <w:p>
      <w:pPr>
        <w:pStyle w:val="Heading1"/>
      </w:pPr>
      <w:r>
        <w:t>Exhibit D. Peer cohort placement</w:t>
      </w:r>
    </w:p>
    <w:p>
      <w:r>
        <w:t>Cohort Pre-IPO / venture growth (listed CEF + listed BDC + interval fund) (n=3). Listed CEF holding pre-IPO tech, the premium-pricing fail case. The cohort exists to show premium vs NAV pricing as a PATTERN.</w:t>
      </w:r>
    </w:p>
    <w:p>
      <w:r>
        <w:t>Cohort placement (venture, R4 phrasing): mgmt fee: at the cohort median of 2.5 (n=3, too small for percentile language) | expense ratio (bases differ, see notes): at the cohort median of 4.53 (n=3, too small for percentile language) | repurchase cap: fact unavailable for this member. Stats and per-member values in data/cohorts/venture.json, membership rationales in data/facts.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24, verified 0, computed 13,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