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Destiny Tech100 Inc (listed closed-end fund (NYSE: DXYZ), CIK 1843974)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 the premium/discount pathology quantified in the fund's own highlights.</w:t>
            </w:r>
          </w:p>
          <w:p>
            <w:r>
              <w:t>1.3 Gross vs net spread (extracted-unverified): No gross-vs-net spread exists: the Financial Highlights print a SINGLE expense line, 'Ratio of expenses to average net assets' — 4.53% (FY2025), 6.28% (FY2024), 5.92% (FY2023), 5.13% (FY2022) — with no before/after-waiver companion line.</w:t>
            </w:r>
          </w:p>
          <w:p>
            <w:r>
              <w:t>1.4 Distribution history &amp; composition (extracted-unverified): No distributions ever paid through FY2025.</w:t>
            </w:r>
          </w:p>
          <w:p>
            <w:r>
              <w:t>1.6 Volatility &amp; max drawdown (computed): Ann vol 162.6% (daily); max drawdown -90.3% (peak $99.79 on 2024-04-08 to trough $9.63 on 2024-08-07).</w:t>
            </w:r>
          </w:p>
          <w:p>
            <w:r>
              <w:t>1.8 Risk-adjusted metrics (PME etc) (computed): No KS-PME or Direct Alpha computable: NO MEANINGFUL BENCHMARK CONSTRUCTIBLE from available data.</w:t>
            </w:r>
          </w:p>
          <w:p>
            <w:r>
              <w:t>1.9 Stress-window performance (computed): Stress observation from printed fiscal-year returns (data/series/dxyz.csv).</w:t>
            </w:r>
          </w:p>
          <w:p>
            <w:r>
              <w:t>1.10 Market price &amp; premium/discount (computed): Full trading-life price series on disk (579 sessions since 2024-03-26 listing): first $9.00, peak $99.79, last $25.97, cumulative +188.6%.</w:t>
            </w:r>
          </w:p>
          <w:p>
            <w:r>
              <w:t>1.11 Track record &amp; manager tenure (extracted-unverified): Portfolio managers = members of the Investment Committee, 'currently comprised of Sohail Prasad' (sole member).</w:t>
            </w:r>
          </w:p>
          <w:p>
            <w:r>
              <w:t>Not applicable: 1.5 underlying fund/GP-level returns are LP-only reporting; filings disclose holdings at fair value (see 3.4/SOI), not underlying fund IRRs. 1.7 appraisal-series diagnostic; product's public series is a market price, NAV filed quarterly.</w:t>
            </w:r>
          </w:p>
        </w:tc>
      </w:tr>
      <w:tr>
        <w:tc>
          <w:tcPr>
            <w:tcW w:type="dxa" w:w="1728"/>
          </w:tcPr>
          <w:p>
            <w:r>
              <w:t>2. Fees (h)</w:t>
            </w:r>
          </w:p>
        </w:tc>
        <w:tc>
          <w:tcPr>
            <w:tcW w:type="dxa" w:w="7632"/>
          </w:tcPr>
          <w:p>
            <w:r>
              <w:t>Typed facts: 2.1 2.50% on gross assets incl. borrowings. 2.2 incentive fee: none. 2.3 4.53% net expense ratio. 2.4 AFFE 0.03%.</w:t>
            </w:r>
          </w:p>
          <w:p>
            <w:r>
              <w:t>2.1 Management fee (rate AND base) (extracted-unverified): CORRECTED per crosscheck: Revised Base Management Fee IN FORCE since NYSE listing (3/26/2024): 0.625% per QUARTER = 2.50% annualized of average GROSS assets INCLUDING assets purchased with borrowings - the leverage-inclusive fee-base trap (cell 2.1) on the fail case itself.</w:t>
            </w:r>
          </w:p>
          <w:p>
            <w:r>
              <w:t>2.2 Incentive fee terms (extracted-unverified): NO incentive/performance fee at the fund level —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 only a generic expense-list mention of underwriting/dealer manager/placement agent agreements 'if any').</w:t>
            </w:r>
          </w:p>
          <w:p>
            <w:r>
              <w:t>2.9 Fee peer percentile (computed): Cohort placement (venture, R4 phrasing):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3.1 252x per year. 3.9 verdict aligned-mechanical under all plans.</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 no debt line; zero N-CSR hits for credit facility / line of credit / borrowings outstanding.</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Redemption stress test not applicable: the wrapper is exchange-traded with continuous dealing, so there is no wrapper capacity to stress.</w:t>
            </w:r>
          </w:p>
          <w:p>
            <w:r>
              <w:t>3.9 Product-to-plan liquidity match (computed): Structural liquidity verdict ALIGNED-MECHANICAL (typed facts, cells 3.1, 3.3, 2.7, plan-independent).</w:t>
            </w:r>
          </w:p>
          <w:p>
            <w:r>
              <w:t>Not applicable: 3.2 exchange-traded. 3.3 exchange-traded. 3.5 CIT only.</w:t>
            </w:r>
          </w:p>
        </w:tc>
      </w:tr>
      <w:tr>
        <w:tc>
          <w:tcPr>
            <w:tcW w:type="dxa" w:w="1728"/>
          </w:tcPr>
          <w:p>
            <w:r>
              <w:t>4. Valuation (j)</w:t>
            </w:r>
          </w:p>
        </w:tc>
        <w:tc>
          <w:tcPr>
            <w:tcW w:type="dxa" w:w="7632"/>
          </w:tcPr>
          <w:p>
            <w:r>
              <w:t>Typed facts: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 only hits are corporate 'Articles of Amendment and Restatement' / 'Amended and Restated Bylaws'.</w:t>
            </w:r>
          </w:p>
          <w:p>
            <w:r>
              <w:t>4.7 Premium/discount check (computed): Premium vs latest FILED quarterly NAV ($24.56 at None): 5.7% at the 2026-07-17 close ($25.97).</w:t>
            </w:r>
          </w:p>
          <w:p>
            <w:r>
              <w:t>Not applicable: 4.8 appraisal-series diagnostic; product's public series is a market price, NAV filed quarterly. 4.9 CIT only.</w:t>
            </w:r>
          </w:p>
        </w:tc>
      </w:tr>
      <w:tr>
        <w:tc>
          <w:tcPr>
            <w:tcW w:type="dxa" w:w="1728"/>
          </w:tcPr>
          <w:p>
            <w:r>
              <w:t>5. Performance Benchmarks (k)</w:t>
            </w:r>
          </w:p>
        </w:tc>
        <w:tc>
          <w:tcPr>
            <w:tcW w:type="dxa" w:w="7632"/>
          </w:tcPr>
          <w:p>
            <w:r>
              <w:t>5.1 Self-declared benchmark (extracted-unverified): YES —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Benchmark candidates evaluated by the engine (rubric v2, threshold 7 of 12, strategy gate below 2 of 3 ineligible).</w:t>
            </w:r>
          </w:p>
          <w:p>
            <w:r>
              <w:t>5.4 Peer universe &amp; returns (computed): Peer cohort venture (n=3: dxyz, ssss, arkvx).</w:t>
            </w:r>
          </w:p>
          <w:p>
            <w:r>
              <w:t>5.5 PME / Direct Alpha inputs (computed): No PME inputs constructible: NO MEANINGFUL BENCHMARK CONSTRUCTIBLE from available data.</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w:t>
            </w:r>
          </w:p>
          <w:p>
            <w:r>
              <w:t>6.4 Tax reporting (1099 vs K-1) (partial): PARTIAL: tax form NOT explicitly named in on-disk filings - searched N-CSR 2026-03-10, 424B5 2026-05-26, 424B3 2026-05-12 and N-2-A 2025-07-10 for '1099' / 'K-1' / 'Schedule K': zero hits.</w:t>
            </w:r>
          </w:p>
          <w:p>
            <w:r>
              <w:t>6.5 Service-provider web (extracted-unverified): Administrator, Accounting Agent and Transfer Agent (also dividend paying agent and registrar): U.S.</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ESCALATION: no meaningful benchmark constructible</w:t>
      </w:r>
    </w:p>
    <w:p>
      <w:r>
        <w:t>NO MEANINGFUL BENCHMARK CONSTRUCTIBLE from available data. Required next: public NAV series (quarterly filings) plus a premium/NAV decomposition before any comparator is defensible.</w:t>
      </w:r>
    </w:p>
    <w:p>
      <w:r>
        <w:t>Under the proposal's own terms, a benchmark that is not meaningful cannot support the comparison. Proceeding without one documented here would undercut the safe harbor. Recommended action: do not proceed pending the data steps above. Retain this memo as the record of the determination.</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Listed private equity investable proxy (PSP)</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Peer cohort composite: venture without dxyz (arkvx, ssss)</w:t>
            </w:r>
          </w:p>
        </w:tc>
        <w:tc>
          <w:tcPr>
            <w:tcW w:type="dxa" w:w="1152"/>
          </w:tcPr>
          <w:p>
            <w:r>
              <w:t>4/12</w:t>
            </w:r>
          </w:p>
        </w:tc>
        <w:tc>
          <w:tcPr>
            <w:tcW w:type="dxa" w:w="4752"/>
          </w:tcPr>
          <w:p>
            <w:r>
              <w:t>fund price is premium/discount-driven and decoupled from NAV. Benchmarking the price benchmarks the premium, not the portfolio</w:t>
            </w:r>
          </w:p>
        </w:tc>
      </w:tr>
      <w:tr>
        <w:tc>
          <w:tcPr>
            <w:tcW w:type="dxa" w:w="3456"/>
          </w:tcPr>
          <w:p>
            <w:r>
              <w:t>NASDAQ Composite Index</w:t>
            </w:r>
          </w:p>
        </w:tc>
        <w:tc>
          <w:tcPr>
            <w:tcW w:type="dxa" w:w="1152"/>
          </w:tcPr>
          <w:p>
            <w:r>
              <w:t>3/12</w:t>
            </w:r>
          </w:p>
        </w:tc>
        <w:tc>
          <w:tcPr>
            <w:tcW w:type="dxa" w:w="4752"/>
          </w:tcPr>
          <w:p>
            <w:r>
              <w:t>fund price is premium/discount-driven and decoupled from NAV. Benchmarking the price benchmarks the premium, not the portfolio</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listed_cef</w:t>
            </w:r>
          </w:p>
        </w:tc>
        <w:tc>
          <w:tcPr>
            <w:tcW w:type="dxa" w:w="1152"/>
          </w:tcPr>
          <w:p>
            <w:r>
              <w:t>6.1</w:t>
            </w:r>
          </w:p>
        </w:tc>
      </w:tr>
      <w:tr>
        <w:tc>
          <w:tcPr>
            <w:tcW w:type="dxa" w:w="2448"/>
          </w:tcPr>
          <w:p>
            <w:r>
              <w:t>Dealing cadence per year</w:t>
            </w:r>
          </w:p>
        </w:tc>
        <w:tc>
          <w:tcPr>
            <w:tcW w:type="dxa" w:w="5760"/>
          </w:tcPr>
          <w:p>
            <w:r>
              <w:t>252</w:t>
            </w:r>
          </w:p>
        </w:tc>
        <w:tc>
          <w:tcPr>
            <w:tcW w:type="dxa" w:w="1152"/>
          </w:tcPr>
          <w:p>
            <w:r>
              <w:t>3.1</w:t>
            </w:r>
          </w:p>
        </w:tc>
      </w:tr>
      <w:tr>
        <w:tc>
          <w:tcPr>
            <w:tcW w:type="dxa" w:w="2448"/>
          </w:tcPr>
          <w:p>
            <w:r>
              <w:t>Repurchase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not applicable (exchange-traded).</w:t>
      </w:r>
    </w:p>
    <w:p>
      <w:r>
        <w:t>Stressed (tail turnover x2, active turnover x1.5 vs base scenario): demand $129.5M/yr = 26.4%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cell 3.5, cell 3.7, cell 3.9, cell 2.7, plan: plan_consulting_alumni.json (Form 5500, plan year 2024-01-01 to 2024-12-31).</w:t>
      </w:r>
    </w:p>
    <w:p>
      <w:pPr>
        <w:pStyle w:val="Heading1"/>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(venture, R4 phrasing): mgmt fee: at the cohort median of 2.5 (n=3, too small for percentile language) | expense ratio (bases differ, see notes): at the cohort median of 4.53 (n=3, too small for percentile language) | repurchase cap: fact unavailable for this member. Stats and per-member values in data/cohorts/venture.json, membership rationales in data/facts.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Global management-consulting firm profit-sharing/401(k) plan (~$9.8B, NY) (ILLUSTRATIVE):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already in the artifacts,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13, partial 3, fetched 1, n/a 13, pending 0. 41 of 41 resolvable, 0 verified, 13 n/a by wrapper.</w:t>
      </w:r>
    </w:p>
    <w:p>
      <w:r>
        <w:t>Of the 40 evidenced cells, 40 carry a source document, 40 a section, 27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1.3</w:t>
            </w:r>
          </w:p>
        </w:tc>
        <w:tc>
          <w:tcPr>
            <w:tcW w:type="dxa" w:w="3456"/>
          </w:tcPr>
          <w:p>
            <w:r>
              <w:t>N-CSR 2026-03-10 (FY ended 12/31/2025); absence of waiver corroborated in 424B5 2026-05-26 'Fees and Expenses'</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1.4</w:t>
            </w:r>
          </w:p>
        </w:tc>
        <w:tc>
          <w:tcPr>
            <w:tcW w:type="dxa" w:w="3456"/>
          </w:tcPr>
          <w:p>
            <w:r>
              <w:t>N-CSR 2026-03-10 (FY2025 annual report); policy corroborated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1.6</w:t>
            </w:r>
          </w:p>
        </w:tc>
        <w:tc>
          <w:tcPr>
            <w:tcW w:type="dxa" w:w="3456"/>
          </w:tcPr>
          <w:p>
            <w:r>
              <w:t>data/analytics/metrics.json</w:t>
            </w:r>
          </w:p>
        </w:tc>
        <w:tc>
          <w:tcPr>
            <w:tcW w:type="dxa" w:w="5184"/>
          </w:tcPr>
          <w:p>
            <w:r>
              <w:t>accession not on record: no filing reference in the source field</w:t>
            </w:r>
          </w:p>
        </w:tc>
      </w:tr>
      <w:tr>
        <w:tc>
          <w:tcPr>
            <w:tcW w:type="dxa" w:w="720"/>
          </w:tcPr>
          <w:p>
            <w:r>
              <w:t>1.8</w:t>
            </w:r>
          </w:p>
        </w:tc>
        <w:tc>
          <w:tcPr>
            <w:tcW w:type="dxa" w:w="3456"/>
          </w:tcPr>
          <w:p>
            <w:r>
              <w:t>data/benchmarks/dxyz_selection.json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1.10</w:t>
            </w:r>
          </w:p>
        </w:tc>
        <w:tc>
          <w:tcPr>
            <w:tcW w:type="dxa" w:w="3456"/>
          </w:tcPr>
          <w:p>
            <w:r>
              <w:t>data/series/dxyz.csv + data/analytics/metrics.json</w:t>
            </w:r>
          </w:p>
        </w:tc>
        <w:tc>
          <w:tcPr>
            <w:tcW w:type="dxa" w:w="5184"/>
          </w:tcPr>
          <w:p>
            <w:r>
              <w:t>accession not on record: no filing reference in the source field</w:t>
            </w:r>
          </w:p>
        </w:tc>
      </w:tr>
      <w:tr>
        <w:tc>
          <w:tcPr>
            <w:tcW w:type="dxa" w:w="720"/>
          </w:tcPr>
          <w:p>
            <w:r>
              <w:t>1.11</w:t>
            </w:r>
          </w:p>
        </w:tc>
        <w:tc>
          <w:tcPr>
            <w:tcW w:type="dxa" w:w="3456"/>
          </w:tcPr>
          <w:p>
            <w:r>
              <w:t>424B5 2026-05-26 (manager identity); N-CSR 2026-03-10 (dates, tenure, returns)</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2.1</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2.2</w:t>
            </w:r>
          </w:p>
        </w:tc>
        <w:tc>
          <w:tcPr>
            <w:tcW w:type="dxa" w:w="3456"/>
          </w:tcPr>
          <w:p>
            <w:r>
              <w:t>424B5 2026-05-26 (prospectus summary + 'Management — Investment Advisory Agreement' + 'Fees and Expenses' table); corroborated by N-CSR 2026-03-10 Note 5(a)</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2.3</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2.4</w:t>
            </w:r>
          </w:p>
        </w:tc>
        <w:tc>
          <w:tcPr>
            <w:tcW w:type="dxa" w:w="3456"/>
          </w:tcPr>
          <w:p>
            <w:r>
              <w:t>424B5 2026-05-26 (prospectus supplement + base prospectus)</w:t>
            </w:r>
          </w:p>
        </w:tc>
        <w:tc>
          <w:tcPr>
            <w:tcW w:type="dxa" w:w="5184"/>
          </w:tcPr>
          <w:p>
            <w:r>
              <w:t>424B5 2026-05-26 accession 0001575872-26-000359 https://www.sec.gov/Archives/edgar/data/1843974/000157587226000359/dxyz102_424b5.htm</w:t>
            </w:r>
          </w:p>
        </w:tc>
      </w:tr>
      <w:tr>
        <w:tc>
          <w:tcPr>
            <w:tcW w:type="dxa" w:w="720"/>
          </w:tcPr>
          <w:p>
            <w:r>
              <w:t>2.5</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2.6</w:t>
            </w:r>
          </w:p>
        </w:tc>
        <w:tc>
          <w:tcPr>
            <w:tcW w:type="dxa" w:w="3456"/>
          </w:tcPr>
          <w:p>
            <w:r>
              <w:t>424B5 2026-05-26</w:t>
            </w:r>
          </w:p>
        </w:tc>
        <w:tc>
          <w:tcPr>
            <w:tcW w:type="dxa" w:w="5184"/>
          </w:tcPr>
          <w:p>
            <w:r>
              <w:t>424B5 2026-05-26 accession 0001575872-26-000359 https://www.sec.gov/Archives/edgar/data/1843974/000157587226000359/dxyz102_424b5.htm</w:t>
            </w:r>
          </w:p>
        </w:tc>
      </w:tr>
      <w:tr>
        <w:tc>
          <w:tcPr>
            <w:tcW w:type="dxa" w:w="720"/>
          </w:tcPr>
          <w:p>
            <w:r>
              <w:t>2.9</w:t>
            </w:r>
          </w:p>
        </w:tc>
        <w:tc>
          <w:tcPr>
            <w:tcW w:type="dxa" w:w="3456"/>
          </w:tcPr>
          <w:p>
            <w:r>
              <w:t>data/cohorts/venture.json</w:t>
            </w:r>
          </w:p>
        </w:tc>
        <w:tc>
          <w:tcPr>
            <w:tcW w:type="dxa" w:w="5184"/>
          </w:tcPr>
          <w:p>
            <w:r>
              <w:t>accession not on record: no filing reference in the source field</w:t>
            </w:r>
          </w:p>
        </w:tc>
      </w:tr>
      <w:tr>
        <w:tc>
          <w:tcPr>
            <w:tcW w:type="dxa" w:w="720"/>
          </w:tcPr>
          <w:p>
            <w:r>
              <w:t>3.1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3.4</w:t>
            </w:r>
          </w:p>
        </w:tc>
        <w:tc>
          <w:tcPr>
            <w:tcW w:type="dxa" w:w="3456"/>
          </w:tcPr>
          <w:p>
            <w:r>
              <w:t>N-CSR 2026-03-10 (FY2025); 3/31/2026 update from 424B3 2026-05-12</w:t>
            </w:r>
          </w:p>
        </w:tc>
        <w:tc>
          <w:tcPr>
            <w:tcW w:type="dxa" w:w="5184"/>
          </w:tcPr>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3.6</w:t>
            </w:r>
          </w:p>
        </w:tc>
        <w:tc>
          <w:tcPr>
            <w:tcW w:type="dxa" w:w="3456"/>
          </w:tcPr>
          <w:p>
            <w:r>
              <w:t>424B5 2026-05-26 (Fees and Expenses footnote 2; leverage risk sections); N-CSR 2026-03-10 Statement of Assets and Liabilities; NPORT-P filed 2026-05-29 Item B.2.c</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NPORT-P 2026-05-29 accession 0000894189-26-016628 https://www.sec.gov/Archives/edgar/data/1843974/000089418926016628/xslFormNPORT-P_X01/primary_doc.xml</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data/liquidity/plan_consulting_alumni__dxyz_match.json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data/liquidity/plan_consulting_alumni__dxyz_match.json</w:t>
            </w:r>
          </w:p>
        </w:tc>
        <w:tc>
          <w:tcPr>
            <w:tcW w:type="dxa" w:w="5184"/>
          </w:tcPr>
          <w:p>
            <w:r>
              <w:t>accession not on record: no filing reference in the source field</w:t>
            </w:r>
          </w:p>
        </w:tc>
      </w:tr>
      <w:tr>
        <w:tc>
          <w:tcPr>
            <w:tcW w:type="dxa" w:w="720"/>
          </w:tcPr>
          <w:p>
            <w:r>
              <w:t>4.1</w:t>
            </w:r>
          </w:p>
        </w:tc>
        <w:tc>
          <w:tcPr>
            <w:tcW w:type="dxa" w:w="3456"/>
          </w:tcPr>
          <w:p>
            <w:r>
              <w:t>N-CSR 2026-03-10 (FY2025); frequency also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4.2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4.3</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4.4</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4.5</w:t>
            </w:r>
          </w:p>
        </w:tc>
        <w:tc>
          <w:tcPr>
            <w:tcW w:type="dxa" w:w="3456"/>
          </w:tcPr>
          <w:p>
            <w:r>
              <w:t>N-CSR 2026-03-10 (FY2025 annual report)</w:t>
            </w:r>
          </w:p>
        </w:tc>
        <w:tc>
          <w:tcPr>
            <w:tcW w:type="dxa" w:w="5184"/>
          </w:tcPr>
          <w:p>
            <w:r>
              <w:t>N-CSR 2026-03-10 accession 0001213900-26-025304 https://www.sec.gov/Archives/edgar/data/1843974/000121390026025304/ea0276106-01_ncsr.htm</w:t>
            </w:r>
          </w:p>
        </w:tc>
      </w:tr>
      <w:tr>
        <w:tc>
          <w:tcPr>
            <w:tcW w:type="dxa" w:w="720"/>
          </w:tcPr>
          <w:p>
            <w:r>
              <w:t>4.6</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4.7</w:t>
            </w:r>
          </w:p>
        </w:tc>
        <w:tc>
          <w:tcPr>
            <w:tcW w:type="dxa" w:w="3456"/>
          </w:tcPr>
          <w:p>
            <w:r>
              <w:t>data/analytics/supplement.json (dxyz_premium)</w:t>
            </w:r>
          </w:p>
        </w:tc>
        <w:tc>
          <w:tcPr>
            <w:tcW w:type="dxa" w:w="5184"/>
          </w:tcPr>
          <w:p>
            <w:r>
              <w:t>accession not on record: no filing reference in the source field</w:t>
            </w:r>
          </w:p>
        </w:tc>
      </w:tr>
      <w:tr>
        <w:tc>
          <w:tcPr>
            <w:tcW w:type="dxa" w:w="720"/>
          </w:tcPr>
          <w:p>
            <w:r>
              <w:t>5.1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5.3</w:t>
            </w:r>
          </w:p>
        </w:tc>
        <w:tc>
          <w:tcPr>
            <w:tcW w:type="dxa" w:w="3456"/>
          </w:tcPr>
          <w:p>
            <w:r>
              <w:t>data/benchmarks/dxyz_selection.json</w:t>
            </w:r>
          </w:p>
        </w:tc>
        <w:tc>
          <w:tcPr>
            <w:tcW w:type="dxa" w:w="5184"/>
          </w:tcPr>
          <w:p>
            <w:r>
              <w:t>accession not on record: no filing reference in the source field</w:t>
            </w:r>
          </w:p>
        </w:tc>
      </w:tr>
      <w:tr>
        <w:tc>
          <w:tcPr>
            <w:tcW w:type="dxa" w:w="720"/>
          </w:tcPr>
          <w:p>
            <w:r>
              <w:t>5.4</w:t>
            </w:r>
          </w:p>
        </w:tc>
        <w:tc>
          <w:tcPr>
            <w:tcW w:type="dxa" w:w="3456"/>
          </w:tcPr>
          <w:p>
            <w:r>
              <w:t>data/cohorts/venture.json</w:t>
            </w:r>
          </w:p>
        </w:tc>
        <w:tc>
          <w:tcPr>
            <w:tcW w:type="dxa" w:w="5184"/>
          </w:tcPr>
          <w:p>
            <w:r>
              <w:t>accession not on record: no filing reference in the source field</w:t>
            </w:r>
          </w:p>
        </w:tc>
      </w:tr>
      <w:tr>
        <w:tc>
          <w:tcPr>
            <w:tcW w:type="dxa" w:w="720"/>
          </w:tcPr>
          <w:p>
            <w:r>
              <w:t>5.5</w:t>
            </w:r>
          </w:p>
        </w:tc>
        <w:tc>
          <w:tcPr>
            <w:tcW w:type="dxa" w:w="3456"/>
          </w:tcPr>
          <w:p>
            <w:r>
              <w:t>data/benchmarks/dxyz_selection.json</w:t>
            </w:r>
          </w:p>
        </w:tc>
        <w:tc>
          <w:tcPr>
            <w:tcW w:type="dxa" w:w="5184"/>
          </w:tcPr>
          <w:p>
            <w:r>
              <w:t>accession not on record: no filing reference in the source field</w:t>
            </w:r>
          </w:p>
        </w:tc>
      </w:tr>
      <w:tr>
        <w:tc>
          <w:tcPr>
            <w:tcW w:type="dxa" w:w="720"/>
          </w:tcPr>
          <w:p>
            <w:r>
              <w:t>5.6</w:t>
            </w:r>
          </w:p>
        </w:tc>
        <w:tc>
          <w:tcPr>
            <w:tcW w:type="dxa" w:w="3456"/>
          </w:tcPr>
          <w:p>
            <w:r>
              <w:t>data/benchmarks/dxyz_selection.json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2026-03-10 (FY2025); structure detail from 424B5 2026-05-26 and 424B3 2026-05-12</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p>
            <w:r>
              <w:t>424B3 2026-05-12 accession 0001575872-26-000288 https://www.sec.gov/Archives/edgar/data/1843974/000157587226000288/dxyz100_424b3.htm</w:t>
            </w:r>
          </w:p>
        </w:tc>
      </w:tr>
      <w:tr>
        <w:tc>
          <w:tcPr>
            <w:tcW w:type="dxa" w:w="720"/>
          </w:tcPr>
          <w:p>
            <w:r>
              <w:t>6.2</w:t>
            </w:r>
          </w:p>
        </w:tc>
        <w:tc>
          <w:tcPr>
            <w:tcW w:type="dxa" w:w="3456"/>
          </w:tcPr>
          <w:p>
            <w:r>
              <w:t>424B5 2026-05-26; portfolio composition from N-CSR 2026-03-10 and 424B3 2026-05-12</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6.3</w:t>
            </w:r>
          </w:p>
        </w:tc>
        <w:tc>
          <w:tcPr>
            <w:tcW w:type="dxa" w:w="3456"/>
          </w:tcPr>
          <w:p>
            <w:r>
              <w:t>N-CSR 2026-03-10 Note 5 - Agreements and Related Party Transactions; conflicts narrative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6.4</w:t>
            </w:r>
          </w:p>
        </w:tc>
        <w:tc>
          <w:tcPr>
            <w:tcW w:type="dxa" w:w="3456"/>
          </w:tcPr>
          <w:p>
            <w:r>
              <w:t>424B5 2026-05-26 (form not named in any on-disk dxyz filing)</w:t>
            </w:r>
          </w:p>
        </w:tc>
        <w:tc>
          <w:tcPr>
            <w:tcW w:type="dxa" w:w="5184"/>
          </w:tcPr>
          <w:p>
            <w:r>
              <w:t>424B5 2026-05-26 accession 0001575872-26-000359 https://www.sec.gov/Archives/edgar/data/1843974/000157587226000359/dxyz102_424b5.htm</w:t>
            </w:r>
          </w:p>
        </w:tc>
      </w:tr>
      <w:tr>
        <w:tc>
          <w:tcPr>
            <w:tcW w:type="dxa" w:w="720"/>
          </w:tcPr>
          <w:p>
            <w:r>
              <w:t>6.5</w:t>
            </w:r>
          </w:p>
        </w:tc>
        <w:tc>
          <w:tcPr>
            <w:tcW w:type="dxa" w:w="3456"/>
          </w:tcPr>
          <w:p>
            <w:r>
              <w:t>N-CSR 2026-03-10 (FY2025)</w:t>
            </w:r>
          </w:p>
        </w:tc>
        <w:tc>
          <w:tcPr>
            <w:tcW w:type="dxa" w:w="5184"/>
          </w:tcPr>
          <w:p>
            <w:r>
              <w:t>N-CSR 2026-03-10 accession 0001213900-26-025304 https://www.sec.gov/Archives/edgar/data/1843974/000121390026025304/ea0276106-01_ncsr.htm</w:t>
            </w:r>
          </w:p>
        </w:tc>
      </w:tr>
    </w:tbl>
    <w:p>
      <w:r>
        <w:t>Data sources: SEC EDGAR filings (5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