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Benchmark: Peer cohort composite: private_credit without ocic (bcred, cion_ares, cliffwater_cclfx, pflex) at 10/12, KS-PME 0.9973, Direct Alpha -0.05%/yr over FY2021 to FY2025.</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ocic (bcred, cion_ares, cliffwater_cclfx, pflex)</w:t>
            </w:r>
          </w:p>
        </w:tc>
        <w:tc>
          <w:tcPr>
            <w:tcW w:type="dxa" w:w="864"/>
          </w:tcPr>
          <w:p>
            <w:r>
              <w:t>10/12</w:t>
            </w:r>
          </w:p>
        </w:tc>
        <w:tc>
          <w:tcPr>
            <w:tcW w:type="dxa" w:w="3888"/>
          </w:tcPr>
          <w:p>
            <w:r>
              <w:t>KS-PME 0.9973, Direct Alpha -0.05%/yr,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net expense ratio</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