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1.00, Direct Alpha -0.05%/yr. 1.11 inception 2020-11-10, 5.1 years.</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KS-PME 0.9973 and Direct Alpha -0.05%/yr vs Peer cohort composite: private_credit without ocic (bcred, cion_ares, cliffwater_cclfx, pflex) over FY2021 to FY2025 (composite comparison, 5 overlapping fiscal year(s) of 5 composite years).</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Not applicable: 1.7 no sub-annual public series. 1.10 unlisted).</w:t>
            </w:r>
          </w:p>
        </w:tc>
      </w:tr>
      <w:tr>
        <w:tc>
          <w:tcPr>
            <w:tcW w:type="dxa" w:w="1728"/>
          </w:tcPr>
          <w:p>
            <w:r>
              <w:t>2. Fees (h)</w:t>
            </w:r>
          </w:p>
        </w:tc>
        <w:tc>
          <w:tcPr>
            <w:tcW w:type="dxa" w:w="7632"/>
          </w:tcPr>
          <w:p>
            <w:r>
              <w:t>Typed facts: 2.1 1.25% on net assets. 2.2 incentive fee: 12.5% / 5% hurdle. 2.3 8.40% net expense ratio.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(private_credit, R4 phrasing):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4x per year, 5% cap on outstanding shares. 3.6 $19.8B net assets. 3.9 verdict varies by plan: conditional, conditional-weak.</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documented-unavailable. 3.7 plan-side workflow.</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peer_credit selected, 10/12.</w:t>
            </w:r>
          </w:p>
          <w:p>
            <w:r>
              <w:t>5.1 Self-declared benchmark (partial): No self-declared performance benchmark index appears in the FY2025 10-K or the 2025 N-2.</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ocic (bcred, cion_ares, cliffwater_cclfx,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pPr>
        <w:pStyle w:val="Heading2"/>
      </w:pPr>
      <w:r>
        <w:t>Primary: Peer cohort composite: private_credit without ocic (bcred, cion_ares, cliffwater_cclfx, pflex) (score 10/12)</w:t>
      </w:r>
    </w:p>
    <w:p>
      <w:r>
        <w:t>Window FY2021 to FY2025 (5 overlapping fiscal year(s) of 5 composite years): fund 8.42%/yr vs benchmark 8.48%/yr, KS-PME 0.9973, Direct Alpha -0.05%/yr.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2021-01-01 to 2025-12-31: fund 8.43%/yr vs benchmark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(private_credit, R4 phrasing): mgmt fee: 50th percentile of cohort (n=5), at the median of 1.25 | expense ratio (bases differ, see notes): 90th percentile of cohort (n=5), above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CONDITIONAL-WEAK.</w:t>
      </w:r>
    </w:p>
    <w:p>
      <w:r>
        <w:t>Benchmark: Peer cohort composite: private_credit without ocic (bcred, cion_ares, cliffwater_cclfx,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8, partial 9, fetched 1, n/a 10, pending 0. 44 of 44 resolvable, 0 verified, 10 n/a by wrapper.</w:t>
      </w:r>
    </w:p>
    <w:p>
      <w:r>
        <w:t>Of the 43 evidenced cells, 43 carry a source document, 43 a section, 35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data/benchmarks/ocic_selection.json</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3.8</w:t>
            </w:r>
          </w:p>
        </w:tc>
        <w:tc>
          <w:tcPr>
            <w:tcW w:type="dxa" w:w="3456"/>
          </w:tcPr>
          <w:p>
            <w:r>
              <w:t>data/liquidity/plan_consulting_alumni__ocic_match.json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data/liquidity/plan_consulting_alumni__ocic_match.json</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data/benchmarks/ocic_selection.json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data/benchmarks/ocic_selection.json</w:t>
            </w:r>
          </w:p>
        </w:tc>
        <w:tc>
          <w:tcPr>
            <w:tcW w:type="dxa" w:w="5184"/>
          </w:tcPr>
          <w:p>
            <w:r>
              <w:t>accession not on record: no filing reference in the source field</w:t>
            </w:r>
          </w:p>
        </w:tc>
      </w:tr>
      <w:tr>
        <w:tc>
          <w:tcPr>
            <w:tcW w:type="dxa" w:w="720"/>
          </w:tcPr>
          <w:p>
            <w:r>
              <w:t>5.6</w:t>
            </w:r>
          </w:p>
        </w:tc>
        <w:tc>
          <w:tcPr>
            <w:tcW w:type="dxa" w:w="3456"/>
          </w:tcPr>
          <w:p>
            <w:r>
              <w:t>data/benchmarks/ocic_selection.json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