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Global management-consulting firm profit-sharing/401(k) plan (~$9.8B, NY)</w:t>
        <w:br/>
      </w:r>
      <w:r>
        <w:t>Product: PIMCO Flexible Credit Income Fund (TRUE interval fund (Rule 23c-3), flexible credit, CIK 1688554)</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CONDITIONAL-WEAK.</w:t>
      </w:r>
    </w:p>
    <w:p>
      <w:r>
        <w:t>Benchmark: Peer cohort composite: private_credit without pflex (bcred, cion_ares, cliffwater_cclfx, ocic) at 9/12, KS-PME 0.9799, Direct Alpha -0.41%/yr over FY2021 to FY2025.</w:t>
      </w:r>
    </w:p>
    <w:p>
      <w:r>
        <w:t>Flags raised by the record (each restates a typed value or verdict, with its source):</w:t>
      </w:r>
    </w:p>
    <w:p>
      <w:pPr>
        <w:pStyle w:val="ListBullet"/>
      </w:pPr>
      <w:r>
        <w:t>Liquidity: ILLUSTRATIVE scenario verdict conditional-weak under this plan (base or stressed demand above wrapper capacity)</w:t>
      </w:r>
    </w:p>
    <w:p>
      <w:r>
        <w:t>Evidence coverage: 42 of 42 resolvable, 0 verified, 12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cohort composite: private_credit without pflex (bcred, cion_ares, cliffwater_cclfx, ocic)</w:t>
            </w:r>
          </w:p>
        </w:tc>
        <w:tc>
          <w:tcPr>
            <w:tcW w:type="dxa" w:w="864"/>
          </w:tcPr>
          <w:p>
            <w:r>
              <w:t>9/12</w:t>
            </w:r>
          </w:p>
        </w:tc>
        <w:tc>
          <w:tcPr>
            <w:tcW w:type="dxa" w:w="3888"/>
          </w:tcPr>
          <w:p>
            <w:r>
              <w:t>KS-PME 0.9799, Direct Alpha -0.41%/yr, FY2021 to FY2025</w:t>
            </w:r>
          </w:p>
        </w:tc>
      </w:tr>
      <w:tr>
        <w:tc>
          <w:tcPr>
            <w:tcW w:type="dxa" w:w="1152"/>
          </w:tcPr>
          <w:p>
            <w:r>
              <w:t>secondary</w:t>
            </w:r>
          </w:p>
        </w:tc>
        <w:tc>
          <w:tcPr>
            <w:tcW w:type="dxa" w:w="3456"/>
          </w:tcPr>
          <w:p>
            <w:r>
              <w:t>Senior loan investable proxy (BKLN, for Morningstar LSTA class)</w:t>
            </w:r>
          </w:p>
        </w:tc>
        <w:tc>
          <w:tcPr>
            <w:tcW w:type="dxa" w:w="864"/>
          </w:tcPr>
          <w:p>
            <w:r>
              <w:t>9/12</w:t>
            </w:r>
          </w:p>
        </w:tc>
        <w:tc>
          <w:tcPr>
            <w:tcW w:type="dxa" w:w="3888"/>
          </w:tcPr>
          <w:p>
            <w:r>
              <w:t>KS-PME 1.1089, Direct Alpha 1.3%/yr, 2018-07-18 to 2026-07-17</w:t>
            </w:r>
          </w:p>
        </w:tc>
      </w:tr>
      <w:tr>
        <w:tc>
          <w:tcPr>
            <w:tcW w:type="dxa" w:w="1152"/>
          </w:tcPr>
          <w:p>
            <w:r>
              <w:t>rejected</w:t>
            </w:r>
          </w:p>
        </w:tc>
        <w:tc>
          <w:tcPr>
            <w:tcW w:type="dxa" w:w="3456"/>
          </w:tcPr>
          <w:p>
            <w:r>
              <w:t>Cliffwater Direct Lending Index (CDLI)</w:t>
            </w:r>
          </w:p>
        </w:tc>
        <w:tc>
          <w:tcPr>
            <w:tcW w:type="dxa" w:w="864"/>
          </w:tcPr>
          <w:p>
            <w:r>
              <w:t>6/12</w:t>
            </w:r>
          </w:p>
        </w:tc>
        <w:tc>
          <w:tcPr>
            <w:tcW w:type="dxa" w:w="3888"/>
          </w:tcPr>
          <w:p>
            <w:r>
              <w:t>score 6/12 below primary threshold 7</w:t>
            </w:r>
          </w:p>
        </w:tc>
      </w:tr>
    </w:tbl>
    <w:p>
      <w:pPr>
        <w:pStyle w:val="Heading1"/>
      </w:pPr>
      <w:r>
        <w:t>Exhibit B.</w:t>
      </w:r>
    </w:p>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(narrowed): this plan is PARTIALLY participant-directed per its own Form 5500 codes (2H, no 2G/404(c) code filed). A trustee-directed sleeve could hold this wrapper directly, and the daily-menu constraint (this wrapper deals 4x/year) applies only to the participant-directed portion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interval_23c3</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outstanding shares</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2025-06-30</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20%.</w:t>
      </w:r>
    </w:p>
    <w:p>
      <w:r>
        <w:t>Stressed (tail turnover x2, active turnover x1.5 vs base scenario): demand $129.5M/yr = 26.4% of the position. EXCEEDS annual wrapper capacity. Unmet demand rolls into later windows (gating-equivalent outcome).</w:t>
      </w:r>
    </w:p>
    <w:p>
      <w:r>
        <w:t>Scenario verdict (ILLUSTRATIVE, this plan): CONDITIONAL-WEAK.</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13.7% of the position per year vs 20% annual wrapper capacity. THIN HEADROOM: demand consumes over 60% of wrapper capacity, so proration in any oversubscribed quarter would push the shortfall into the next window.</w:t>
      </w:r>
    </w:p>
    <w:p>
      <w:pPr>
        <w:pStyle w:val="ListBullet"/>
      </w:pPr>
      <w:r>
        <w:t>Scenario verdict (ILLUSTRATIVE, this plan): conditional-weak.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plan_consulting_alumni.json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1.30% on the lesser of two bases</w:t>
            </w:r>
          </w:p>
        </w:tc>
        <w:tc>
          <w:tcPr>
            <w:tcW w:type="dxa" w:w="2880"/>
          </w:tcPr>
          <w:p>
            <w:r>
              <w:t>extracted-unverified</w:t>
            </w:r>
          </w:p>
        </w:tc>
      </w:tr>
      <w:tr>
        <w:tc>
          <w:tcPr>
            <w:tcW w:type="dxa" w:w="2880"/>
          </w:tcPr>
          <w:p>
            <w:r>
              <w:t>2.2 Incentive fee terms</w:t>
            </w:r>
          </w:p>
        </w:tc>
        <w:tc>
          <w:tcPr>
            <w:tcW w:type="dxa" w:w="3600"/>
          </w:tcPr>
          <w:p>
            <w:r>
              <w:t>incentive fee: none</w:t>
            </w:r>
          </w:p>
        </w:tc>
        <w:tc>
          <w:tcPr>
            <w:tcW w:type="dxa" w:w="2880"/>
          </w:tcPr>
          <w:p>
            <w:r>
              <w:t>extracted-unverified</w:t>
            </w:r>
          </w:p>
        </w:tc>
      </w:tr>
      <w:tr>
        <w:tc>
          <w:tcPr>
            <w:tcW w:type="dxa" w:w="2880"/>
          </w:tcPr>
          <w:p>
            <w:r>
              <w:t>2.3 Total expense ratio &amp; waivers</w:t>
            </w:r>
          </w:p>
        </w:tc>
        <w:tc>
          <w:tcPr>
            <w:tcW w:type="dxa" w:w="3600"/>
          </w:tcPr>
          <w:p>
            <w:r>
              <w:t>1.97% net expense ratio</w:t>
            </w:r>
          </w:p>
        </w:tc>
        <w:tc>
          <w:tcPr>
            <w:tcW w:type="dxa" w:w="2880"/>
          </w:tcPr>
          <w:p>
            <w:r>
              <w:t>extracted-unverified</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Flexible multi-sector credit in the SAME wrapper as cclfx (interval, quarterly 5%). A wrapper twin with a broader credit mandate (loans, structured, EM). Mandate breadth is the disclosed mismatch.</w:t>
      </w:r>
    </w:p>
    <w:p>
      <w:r>
        <w:t>Cohort placement (private_credit, R4 phrasing): mgmt fee: 90th percentile of cohort (n=5), above the median of 1.25 | expense ratio (bases differ, see notes): 30th percentile of cohort (n=5), below the median of 3.76 | repurchase cap: 50th percentile of cohort (n=5), at the median of 5. Stats and per-member values in data/cohorts/private_credit.json, membership rationales in data/facts.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w:t>
      </w:r>
    </w:p>
    <w:p>
      <w:pPr>
        <w:pStyle w:val="Heading1"/>
      </w:pPr>
      <w:r>
        <w:t>Provenance</w:t>
      </w:r>
    </w:p>
    <w:p>
      <w:r>
        <w:t>Cell status for this product: structured 0, extracted-unverified 27, verified 0, computed 12, partial 2, fetched 1, n/a 12,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