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Starwood Real Estate Income Trust, Inc. (non-traded REIT ('34 Act reporting), CIK 1711929)</w:t>
        <w:br/>
      </w:r>
      <w:r>
        <w:t>Record as of 2026-09-04. DRAFT, generated by the build from the record. The decision memo for the same plan and product is a separate document.</w:t>
      </w:r>
    </w:p>
    <w:p>
      <w:pPr>
        <w:pStyle w:val="Heading1"/>
      </w:pPr>
      <w:r>
        <w:t>Summary</w:t>
      </w:r>
    </w:p>
    <w:p>
      <w:r>
        <w:t>Structural liquidity verdict: MISALIGNED (typed facts, plan-independent). Scenario verdict under this plan (ILLUSTRATIVE, default sliders): MISALIGNED.</w:t>
      </w:r>
    </w:p>
    <w:p>
      <w:r>
        <w:t>Benchmark: Listed REIT investable proxy (VNQ) at 9/12, KS-PME 0.9453, Direct Alpha -5.47%/yr over 2024-12-31 to 2025-12-31.</w:t>
      </w:r>
    </w:p>
    <w:p>
      <w:r>
        <w:t>Flags raised by the record (each restates a typed value or verdict, with its source):</w:t>
      </w:r>
    </w:p>
    <w:p>
      <w:pPr>
        <w:pStyle w:val="ListBullet"/>
      </w:pPr>
      <w:r>
        <w:t>Benchmark: low confidence: 1-year window, shorter than 3 years (benchmark comparison)</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(base or stressed demand above wrapper capacity)</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REIT investable proxy (VNQ)</w:t>
            </w:r>
          </w:p>
        </w:tc>
        <w:tc>
          <w:tcPr>
            <w:tcW w:type="dxa" w:w="864"/>
          </w:tcPr>
          <w:p>
            <w:r>
              <w:t>9/12</w:t>
            </w:r>
          </w:p>
        </w:tc>
        <w:tc>
          <w:tcPr>
            <w:tcW w:type="dxa" w:w="3888"/>
          </w:tcPr>
          <w:p>
            <w:r>
              <w:t>KS-PME 0.9453, Direct Alpha -5.47%/yr, 2024-12-31 to 2025-12-31</w:t>
            </w:r>
          </w:p>
        </w:tc>
      </w:tr>
      <w:tr>
        <w:tc>
          <w:tcPr>
            <w:tcW w:type="dxa" w:w="1152"/>
          </w:tcPr>
          <w:p>
            <w:r>
              <w:t>secondary</w:t>
            </w:r>
          </w:p>
        </w:tc>
        <w:tc>
          <w:tcPr>
            <w:tcW w:type="dxa" w:w="3456"/>
          </w:tcPr>
          <w:p>
            <w:r>
              <w:t>NCREIF Fund Index - ODCE (private core RE)</w:t>
            </w:r>
          </w:p>
        </w:tc>
        <w:tc>
          <w:tcPr>
            <w:tcW w:type="dxa" w:w="864"/>
          </w:tcPr>
          <w:p>
            <w:r>
              <w:t>7/12</w:t>
            </w:r>
          </w:p>
        </w:tc>
        <w:tc>
          <w:tcPr>
            <w:tcW w:type="dxa" w:w="3888"/>
          </w:tcPr>
          <w:p>
            <w:r>
              <w:t>selected</w:t>
            </w:r>
          </w:p>
        </w:tc>
      </w:tr>
      <w:tr>
        <w:tc>
          <w:tcPr>
            <w:tcW w:type="dxa" w:w="1152"/>
          </w:tcPr>
          <w:p>
            <w:r>
              <w:t>rejected</w:t>
            </w:r>
          </w:p>
        </w:tc>
        <w:tc>
          <w:tcPr>
            <w:tcW w:type="dxa" w:w="3456"/>
          </w:tcPr>
          <w:p>
            <w:r>
              <w:t>Cambridge Associates Real Estate benchmark</w:t>
            </w:r>
          </w:p>
        </w:tc>
        <w:tc>
          <w:tcPr>
            <w:tcW w:type="dxa" w:w="864"/>
          </w:tcPr>
          <w:p>
            <w:r>
              <w:t>7/12</w:t>
            </w:r>
          </w:p>
        </w:tc>
        <w:tc>
          <w:tcPr>
            <w:tcW w:type="dxa" w:w="3888"/>
          </w:tcPr>
          <w:p>
            <w:r>
              <w:t>outranked: score 7/12 vs primary 9/12 and secondary 7/12 (only two slots). Retained in log as viable alternate</w:t>
            </w:r>
          </w:p>
        </w:tc>
      </w:tr>
      <w:tr>
        <w:tc>
          <w:tcPr>
            <w:tcW w:type="dxa" w:w="1152"/>
          </w:tcPr>
          <w:p>
            <w:r>
              <w:t>rejected</w:t>
            </w:r>
          </w:p>
        </w:tc>
        <w:tc>
          <w:tcPr>
            <w:tcW w:type="dxa" w:w="3456"/>
          </w:tcPr>
          <w:p>
            <w:r>
              <w:t>Peer cohort composite: nontraded_reit without sreit (breit, jll_ipt)</w:t>
            </w:r>
          </w:p>
        </w:tc>
        <w:tc>
          <w:tcPr>
            <w:tcW w:type="dxa" w:w="864"/>
          </w:tcPr>
          <w:p>
            <w:r>
              <w:t>4/12</w:t>
            </w:r>
          </w:p>
        </w:tc>
        <w:tc>
          <w:tcPr>
            <w:tcW w:type="dxa" w:w="3888"/>
          </w:tcPr>
          <w:p>
            <w:r>
              <w:t>score 4/12 below primary threshold 7</w:t>
            </w:r>
          </w:p>
        </w:tc>
      </w:tr>
    </w:tbl>
    <w:p>
      <w:pPr>
        <w:pStyle w:val="Heading1"/>
      </w:pPr>
      <w:r>
        <w:t>Exhibit B.</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MISALIGNED</w:t>
      </w:r>
    </w:p>
    <w:p>
      <w:pPr>
        <w:pStyle w:val="ListBullet"/>
      </w:pPr>
      <w:r>
        <w:t>STRUCTURAL GAP (narrowed): this plan is PARTIALLY participant-directed per its own Form 5500 codes (2H, no 2G/404(c) code filed). A trustee-directed sleeve could hold this wrapper directly, and the daily-menu constraint (this wrapper deals 12x/year) applies only to the participant-directed portion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12</w:t>
            </w:r>
          </w:p>
        </w:tc>
        <w:tc>
          <w:tcPr>
            <w:tcW w:type="dxa" w:w="1152"/>
          </w:tcPr>
          <w:p>
            <w:r>
              <w:t>3.1</w:t>
            </w:r>
          </w:p>
        </w:tc>
      </w:tr>
      <w:tr>
        <w:tc>
          <w:tcPr>
            <w:tcW w:type="dxa" w:w="2448"/>
          </w:tcPr>
          <w:p>
            <w:r>
              <w:t>Repurchase cap</w:t>
            </w:r>
          </w:p>
        </w:tc>
        <w:tc>
          <w:tcPr>
            <w:tcW w:type="dxa" w:w="5760"/>
          </w:tcPr>
          <w:p>
            <w:r>
              <w:t>0% of aggregate nav</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0%.</w:t>
      </w:r>
    </w:p>
    <w:p>
      <w:r>
        <w:t>Stressed (tail turnover x2, active turnover x1.5 vs base scenario): demand $129.5M/yr = 26.4% of the position. EXCEEDS annual wrapper capacity. Unmet demand rolls into later windows (gating-equivalent outcome).</w:t>
      </w:r>
    </w:p>
    <w:p>
      <w:r>
        <w:t>Scenario verdict (ILLUSTRATIVE, this plan): MISALIGNED.</w:t>
      </w:r>
    </w:p>
    <w:p>
      <w:pPr>
        <w:pStyle w:val="ListBullet"/>
      </w:pPr>
      <w:r>
        <w:t>Capacity: repurchases closed (cell 3.1): 12x per year at 0% of aggregate nav. Capacity is 0% until the program reopens.</w:t>
      </w:r>
    </w:p>
    <w:p>
      <w:pPr>
        <w:pStyle w:val="ListBullet"/>
      </w:pPr>
      <w:r>
        <w:t>Scenario demand (illustrative): 13.7% of the position per year vs 0% annual wrapper capacity. EXCEEDS: repurchases are closed, so every request waits for the program to reopen.</w:t>
      </w:r>
    </w:p>
    <w:p>
      <w:pPr>
        <w:pStyle w:val="ListBullet"/>
      </w:pPr>
      <w:r>
        <w:t>Scenario verdict (ILLUSTRATIVE, this plan): misaligned.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n/a</w:t>
            </w:r>
          </w:p>
        </w:tc>
        <w:tc>
          <w:tcPr>
            <w:tcW w:type="dxa" w:w="2880"/>
          </w:tcPr>
          <w:p>
            <w:r>
              <w:t>n/a - not publicly available: no TER disclosure exists for a '34-Act non-traded REIT - zero hits for 'expense ratio' in the stripped FY2025 10-K and Q2-2026 10-Q; fee-burden components evidenced in 2.1/2.2/2.6/2.7</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5% &lt; 1 year</w:t>
            </w:r>
          </w:p>
        </w:tc>
        <w:tc>
          <w:tcPr>
            <w:tcW w:type="dxa" w:w="2880"/>
          </w:tcPr>
          <w:p>
            <w:r>
              <w:t>extracted-unverified</w:t>
            </w:r>
          </w:p>
        </w:tc>
      </w:tr>
      <w:tr>
        <w:tc>
          <w:tcPr>
            <w:tcW w:type="dxa" w:w="2880"/>
          </w:tcPr>
          <w:p>
            <w:r>
              <w:t>6.4 Tax reporting (1099 vs K-1)</w:t>
            </w:r>
          </w:p>
        </w:tc>
        <w:tc>
          <w:tcPr>
            <w:tcW w:type="dxa" w:w="3600"/>
          </w:tcPr>
          <w:p>
            <w:r>
              <w:t>partial</w:t>
            </w:r>
          </w:p>
        </w:tc>
        <w:tc>
          <w:tcPr>
            <w:tcW w:type="dxa" w:w="2880"/>
          </w:tcPr>
          <w:p>
            <w:r>
              <w:t>partial</w:t>
            </w:r>
          </w:p>
        </w:tc>
      </w:tr>
    </w:tbl>
    <w:p>
      <w:pPr>
        <w:pStyle w:val="Heading1"/>
      </w:pPr>
      <w:r>
        <w:t>Exhibit D. Peer cohort placement</w:t>
      </w:r>
    </w:p>
    <w:p>
      <w:r>
        <w:t>Cohort Non-traded NAV REITs (n=3). Non-traded monthly-NAV REIT - breit's closest structural twin (class structure, repurchase plan, 2022-24 stress history).</w:t>
      </w:r>
    </w:p>
    <w:p>
      <w:r>
        <w:t>Cohort placement (nontraded_reit, R4 phrasing): mgmt fee: at the cohort median of 1.25 (n=3, too small for percentile language) | expense ratio (bases differ, see notes): fact unavailable for this member | repurchase cap: below the cohort median of 2 (n=3, too small for percentile language). Stats and per-member values in data/cohorts/nontraded_reit.json, membership rationales in data/facts.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24, verified 0, computed 9, partial 6,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