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Neostellar Capital Corp. (fka SuRo Capital Corp., SSSS) (LISTED BDC (exchange-traded; pre-IPO growth holdings), CIK 1509470)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 filings disclose SPV positions at cost vs fair value plus distribution facts, not vehicle-level returns.</w:t>
            </w:r>
          </w:p>
          <w:p>
            <w:r>
              <w:t>1.6 Volatility &amp; max drawdown (computed): Computed from NSLR daily MARKET PRICE (2,514 obs since 2016, incl.</w:t>
            </w:r>
          </w:p>
          <w:p>
            <w:r>
              <w:t>1.8 Risk-adjusted metrics (PME etc) (computed): No KS-PME or Direct Alpha computable: NO MEANINGFUL BENCHMARK CONSTRUCTIBLE from available data.</w:t>
            </w:r>
          </w:p>
          <w:p>
            <w:r>
              <w:t>1.9 Stress-window performance (computed): Computed stress-window performance from data/series/nslr.csv (adjusted close, distributions reinvested).</w:t>
            </w:r>
          </w:p>
          <w:p>
            <w:r>
              <w:t>1.10 Market price &amp; premium/discount (extracted-unverified): LISTED BDC -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Not applicable: 1.7 market-price series; appraisal-series diagnostic inapplicable.</w:t>
            </w:r>
          </w:p>
        </w:tc>
      </w:tr>
      <w:tr>
        <w:tc>
          <w:tcPr>
            <w:tcW w:type="dxa" w:w="1728"/>
          </w:tcPr>
          <w:p>
            <w:r>
              <w:t>2. Fees (h)</w:t>
            </w:r>
          </w:p>
        </w:tc>
        <w:tc>
          <w:tcPr>
            <w:tcW w:type="dxa" w:w="7632"/>
          </w:tcPr>
          <w:p>
            <w:r>
              <w:t>Typed facts: 2.1 1.75% on gross assets incl. borrowings. 2.2 incentive fee: 7% hurdle. 2.3 9.46% net expense ratio. 2.4 AFFE 0.06%.</w:t>
            </w:r>
          </w:p>
          <w:p>
            <w:r>
              <w:t>2.1 Management fee (rate AND base) (extracted-unverified): CURRENT (from Effective Date 7/15/2026): Base Management Fee RATE 1.75% per annum; BASE = GROSS assets (leverage-inclusive fee base -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 investors buy/sell on Nasdaq at market (brokerage commissions are investor-side).</w:t>
            </w:r>
          </w:p>
          <w:p>
            <w:r>
              <w:t>2.9 Fee peer percentile (computed): Cohort placement (venture, R4 phrasing):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3.1 252x per year. 3.3 no gating identified in the filings on record. 3.9 verdict aligned-mechanical under all plans.</w:t>
            </w:r>
          </w:p>
          <w:p>
            <w:r>
              <w:t>3.1 Wrapper liquidity terms (extracted-unverified): Listed BDC: continuous intraday exchange liquidity on the Nasdaq Global Select Market -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3.8 Redemption stress test (computed): Redemption stress test not applicable: the wrapper is exchange-traded with continuous dealing, so there is no wrapper capacity to stress.</w:t>
            </w:r>
          </w:p>
          <w:p>
            <w:r>
              <w:t>3.9 Product-to-plan liquidity match (computed): Structural liquidity verdict ALIGNED-MECHANICAL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 Market Approach (revenue multiples 0.52x-7.95x, wtd avg 3.47x; precedent transactions 25%-100%, wa 76%) + PWERM (revenue multiples 1.42x-5.60x; dissolution risk 100%; precedent transaction 90%); Common stock $46.7M - Market Approach (revenue multiples 0.57x-5.23x, wa 4.99x; precedent 100%; AFFO multiple 8.42x) + PWERM; Options $4.2M - Option Pricing Model (term 0.50-1.36 yrs, wa 0.88; volatility 45-50%, wa 48%) + PWERM + Market Approach; Debt investments $0.76M - Market Approach (revenue multiples 0.57x-5.05x; precedent 25%).</w:t>
            </w:r>
          </w:p>
          <w:p>
            <w:r>
              <w:t>4.5 Auditor &amp; opinion (extracted-unverified): Auditor (signature block): CBIZ CPAs P.C., Boston, MA - PCAOB ID 199 - report dated March 11, 2026, on FY2025 statements and the senior-securities table; tenure line: auditor since 2019, '(such date takes into account the acquisition of the attest business of Marcum LLP by CBIZ CPAs P.C.</w:t>
            </w:r>
          </w:p>
          <w:p>
            <w:r>
              <w:t>4.6 NAV restatement history (extracted-unverified): None identified: searched 'restat' and 'error correction' across all three on-disk filings (10-K FY2025, 10-Q Q2-2026, N-2 2026-07-31).</w:t>
            </w:r>
          </w:p>
          <w:p>
            <w:r>
              <w:t>4.7 Premium/discount check (computed): Premium/(discount) vs printed quarterly NAV (computed): -21.7% at the 2026-08-14 close ($10.52 vs NAV $13.44 at 2026-06-30).</w:t>
            </w:r>
          </w:p>
          <w:p>
            <w:r>
              <w:t>Not applicable: 4.8 market-price series; NAV quarterly only. 4.9 CIT only.</w:t>
            </w:r>
          </w:p>
        </w:tc>
      </w:tr>
      <w:tr>
        <w:tc>
          <w:tcPr>
            <w:tcW w:type="dxa" w:w="1728"/>
          </w:tcPr>
          <w:p>
            <w:r>
              <w:t>5. Performance Benchmarks (k)</w:t>
            </w:r>
          </w:p>
        </w:tc>
        <w:tc>
          <w:tcPr>
            <w:tcW w:type="dxa" w:w="7632"/>
          </w:tcPr>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Benchmark candidates evaluated by the engine (rubric v2, threshold 7 of 12, strategy gate below 2 of 3 ineligible).</w:t>
            </w:r>
          </w:p>
          <w:p>
            <w:r>
              <w:t>5.4 Peer universe &amp; returns (computed): Peer cohort venture (n=3: dxyz, ssss, arkvx).</w:t>
            </w:r>
          </w:p>
          <w:p>
            <w:r>
              <w:t>5.5 PME / Direct Alpha inputs (computed): No PME inputs constructible: NO MEANINGFUL BENCHMARK CONSTRUCTIBLE from available data.</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listed BDC.</w:t>
            </w:r>
          </w:p>
          <w:p>
            <w:r>
              <w:t>6.1 Structure map (extracted-unverified): Structure map: Maryland corporation (inc.</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6.1/6.2/6.4/1.10. 6.8 workflow, not data.</w:t>
            </w:r>
          </w:p>
        </w:tc>
      </w:tr>
    </w:tbl>
    <w:p>
      <w:pPr>
        <w:pStyle w:val="Heading1"/>
      </w:pPr>
      <w:r>
        <w:t>Benchmark selection and justification</w:t>
      </w:r>
    </w:p>
    <w:p>
      <w:pPr>
        <w:pStyle w:val="Heading2"/>
      </w:pPr>
      <w:r>
        <w:t>ESCALATION: no meaningful benchmark constructible</w:t>
      </w:r>
    </w:p>
    <w:p>
      <w:r>
        <w:t>NO MEANINGFUL BENCHMARK CONSTRUCTIBLE from available data. Required next: public NAV series (quarterly filings) plus a premium/NAV decomposition before any comparator is defensible.</w:t>
      </w:r>
    </w:p>
    <w:p>
      <w:r>
        <w:t>Under the proposal's own terms, a benchmark that is not meaningful cannot support the comparison. Proceeding without one documented here would undercut the safe harbor. Recommended action: do not proceed pending the data steps above. Retain this memo as the record of the determination.</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Listed private equity investable proxy (PSP)</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Peer cohort composite: venture without ssss (arkvx, dxyz)</w:t>
            </w:r>
          </w:p>
        </w:tc>
        <w:tc>
          <w:tcPr>
            <w:tcW w:type="dxa" w:w="1152"/>
          </w:tcPr>
          <w:p>
            <w:r>
              <w:t>4/12</w:t>
            </w:r>
          </w:p>
        </w:tc>
        <w:tc>
          <w:tcPr>
            <w:tcW w:type="dxa" w:w="4752"/>
          </w:tcPr>
          <w:p>
            <w:r>
              <w:t>fund price is premium/discount-driven and decoupled from NAV. Benchmarking the price benchmarks the premium, not the portfolio</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listed_bdc</w:t>
            </w:r>
          </w:p>
        </w:tc>
        <w:tc>
          <w:tcPr>
            <w:tcW w:type="dxa" w:w="1152"/>
          </w:tcPr>
          <w:p>
            <w:r>
              <w:t>6.1</w:t>
            </w:r>
          </w:p>
        </w:tc>
      </w:tr>
      <w:tr>
        <w:tc>
          <w:tcPr>
            <w:tcW w:type="dxa" w:w="2448"/>
          </w:tcPr>
          <w:p>
            <w:r>
              <w:t>Dealing cadence per year</w:t>
            </w:r>
          </w:p>
        </w:tc>
        <w:tc>
          <w:tcPr>
            <w:tcW w:type="dxa" w:w="5760"/>
          </w:tcPr>
          <w:p>
            <w:r>
              <w:t>252</w:t>
            </w:r>
          </w:p>
        </w:tc>
        <w:tc>
          <w:tcPr>
            <w:tcW w:type="dxa" w:w="1152"/>
          </w:tcPr>
          <w:p>
            <w:r>
              <w:t>3.1</w:t>
            </w:r>
          </w:p>
        </w:tc>
      </w:tr>
      <w:tr>
        <w:tc>
          <w:tcPr>
            <w:tcW w:type="dxa" w:w="2448"/>
          </w:tcPr>
          <w:p>
            <w:r>
              <w:t>Repurchase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not applicable (exchange-traded).</w:t>
      </w:r>
    </w:p>
    <w:p>
      <w:r>
        <w:t>Stressed (tail turnover x2, active turnover x1.5 vs base scenario): demand $129.5M/yr = 26.4%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cell 3.5, cell 3.7, cell 3.9, cell 2.7, plan: plan_consulting_alumni.json (Form 5500, plan year 2024-01-01 to 2024-12-31).</w:t>
      </w:r>
    </w:p>
    <w:p>
      <w:pPr>
        <w:pStyle w:val="Heading1"/>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(venture, R4 phrasing): mgmt fee: below the cohort median of 2.5 (n=3, too small for percentile language) | expense ratio (bases differ, see notes): above the cohort median of 4.53 (n=3, too small for percentile language) | repurchase cap: fact unavailable for this member. Stats and per-member values in data/cohorts/venture.json, membership rationales in data/facts.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Global management-consulting firm profit-sharing/401(k) plan (~$9.8B, NY) (ILLUSTRATIVE):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already in the artifacts,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4, fetched 1, n/a 11, pending 0. 43 of 43 resolvable, 0 verified, 11 n/a by wrapper.</w:t>
      </w:r>
    </w:p>
    <w:p>
      <w:r>
        <w:t>Of the 42 evidenced cells, 42 carry a source document, 42 a section, 31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1.2</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1.5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1.6</w:t>
            </w:r>
          </w:p>
        </w:tc>
        <w:tc>
          <w:tcPr>
            <w:tcW w:type="dxa" w:w="3456"/>
          </w:tcPr>
          <w:p>
            <w:r>
              <w:t>data/analytics/supplement.json (stress_windows.ssss)</w:t>
            </w:r>
          </w:p>
        </w:tc>
        <w:tc>
          <w:tcPr>
            <w:tcW w:type="dxa" w:w="5184"/>
          </w:tcPr>
          <w:p>
            <w:r>
              <w:t>accession not on record: no filing reference in the source field</w:t>
            </w:r>
          </w:p>
        </w:tc>
      </w:tr>
      <w:tr>
        <w:tc>
          <w:tcPr>
            <w:tcW w:type="dxa" w:w="720"/>
          </w:tcPr>
          <w:p>
            <w:r>
              <w:t>1.8</w:t>
            </w:r>
          </w:p>
        </w:tc>
        <w:tc>
          <w:tcPr>
            <w:tcW w:type="dxa" w:w="3456"/>
          </w:tcPr>
          <w:p>
            <w:r>
              <w:t>data/benchmarks/ssss_selection.json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1.10</w:t>
            </w:r>
          </w:p>
        </w:tc>
        <w:tc>
          <w:tcPr>
            <w:tcW w:type="dxa" w:w="3456"/>
          </w:tcPr>
          <w:p>
            <w:r>
              <w:t>Form 10-K FY2025 (filed 2026-03-11); Form N-2 (filed 2026-07-31); Form 10-Q Q2-2026 (filed 2026-08-06)</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1.11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2.2</w:t>
            </w:r>
          </w:p>
        </w:tc>
        <w:tc>
          <w:tcPr>
            <w:tcW w:type="dxa" w:w="3456"/>
          </w:tcPr>
          <w:p>
            <w:r>
              <w:t>Form N-2 (filed 2026-07-31); Form 10-Q Q2-2026 (filed 2026-08-06)</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2.3</w:t>
            </w:r>
          </w:p>
        </w:tc>
        <w:tc>
          <w:tcPr>
            <w:tcW w:type="dxa" w:w="3456"/>
          </w:tcPr>
          <w:p>
            <w:r>
              <w:t>Form N-2 (filed 2026-07-31); Form 10-K FY2025 (filed 2026-03-11); Form 10-Q Q2-2026 (filed 2026-08-06)</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2.4</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2.6</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2.9</w:t>
            </w:r>
          </w:p>
        </w:tc>
        <w:tc>
          <w:tcPr>
            <w:tcW w:type="dxa" w:w="3456"/>
          </w:tcPr>
          <w:p>
            <w:r>
              <w:t>data/cohorts/venture.json</w:t>
            </w:r>
          </w:p>
        </w:tc>
        <w:tc>
          <w:tcPr>
            <w:tcW w:type="dxa" w:w="5184"/>
          </w:tcPr>
          <w:p>
            <w:r>
              <w:t>accession not on record: no filing reference in the source field</w:t>
            </w:r>
          </w:p>
        </w:tc>
      </w:tr>
      <w:tr>
        <w:tc>
          <w:tcPr>
            <w:tcW w:type="dxa" w:w="720"/>
          </w:tcPr>
          <w:p>
            <w:r>
              <w:t>3.1</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3.2</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3.3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3.4</w:t>
            </w:r>
          </w:p>
        </w:tc>
        <w:tc>
          <w:tcPr>
            <w:tcW w:type="dxa" w:w="3456"/>
          </w:tcPr>
          <w:p>
            <w:r>
              <w:t>Form 10-Q Q2-2026 (filed 2026-08-06); Form N-2 (filed 2026-07-31); Form 10-K FY2025 (filed 2026-03-11)</w:t>
            </w:r>
          </w:p>
        </w:tc>
        <w:tc>
          <w:tcPr>
            <w:tcW w:type="dxa" w:w="5184"/>
          </w:tcPr>
          <w:p>
            <w:r>
              <w:t>10-Q 2026-08-06 accession 0001493152-26-036285 https://www.sec.gov/Archives/edgar/data/1509470/000149315226036285/form10-q.htm</w:t>
            </w:r>
          </w:p>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3.6</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3.8</w:t>
            </w:r>
          </w:p>
        </w:tc>
        <w:tc>
          <w:tcPr>
            <w:tcW w:type="dxa" w:w="3456"/>
          </w:tcPr>
          <w:p>
            <w:r>
              <w:t>data/liquidity/plan_consulting_alumni__ssss_match.json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data/liquidity/plan_consulting_alumni__ssss_match.json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4.2</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4.3</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4.5</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4.6</w:t>
            </w:r>
          </w:p>
        </w:tc>
        <w:tc>
          <w:tcPr>
            <w:tcW w:type="dxa" w:w="3456"/>
          </w:tcPr>
          <w:p>
            <w:r>
              <w:t>Form 10-K FY2025 (filed 2026-03-11); absence checked in 10-Q Q2-2026 and N-2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 (matched by form only: the single such filing held)</w:t>
            </w:r>
          </w:p>
          <w:p>
            <w:r>
              <w:t>N-2 2026-07-31 accession 0001493152-26-035527 https://www.sec.gov/Archives/edgar/data/1509470/000149315226035527/formn-2.htm</w:t>
            </w:r>
          </w:p>
        </w:tc>
      </w:tr>
      <w:tr>
        <w:tc>
          <w:tcPr>
            <w:tcW w:type="dxa" w:w="720"/>
          </w:tcPr>
          <w:p>
            <w:r>
              <w:t>4.7</w:t>
            </w:r>
          </w:p>
        </w:tc>
        <w:tc>
          <w:tcPr>
            <w:tcW w:type="dxa" w:w="3456"/>
          </w:tcPr>
          <w:p>
            <w:r>
              <w:t>data/analytics/supplement.json (ssss_premium)</w:t>
            </w:r>
          </w:p>
        </w:tc>
        <w:tc>
          <w:tcPr>
            <w:tcW w:type="dxa" w:w="5184"/>
          </w:tcPr>
          <w:p>
            <w:r>
              <w:t>accession not on record: no filing reference in the source field</w:t>
            </w:r>
          </w:p>
        </w:tc>
      </w:tr>
      <w:tr>
        <w:tc>
          <w:tcPr>
            <w:tcW w:type="dxa" w:w="720"/>
          </w:tcPr>
          <w:p>
            <w:r>
              <w:t>5.1</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5.3</w:t>
            </w:r>
          </w:p>
        </w:tc>
        <w:tc>
          <w:tcPr>
            <w:tcW w:type="dxa" w:w="3456"/>
          </w:tcPr>
          <w:p>
            <w:r>
              <w:t>data/benchmarks/ssss_selection.json</w:t>
            </w:r>
          </w:p>
        </w:tc>
        <w:tc>
          <w:tcPr>
            <w:tcW w:type="dxa" w:w="5184"/>
          </w:tcPr>
          <w:p>
            <w:r>
              <w:t>accession not on record: no filing reference in the source field</w:t>
            </w:r>
          </w:p>
        </w:tc>
      </w:tr>
      <w:tr>
        <w:tc>
          <w:tcPr>
            <w:tcW w:type="dxa" w:w="720"/>
          </w:tcPr>
          <w:p>
            <w:r>
              <w:t>5.4</w:t>
            </w:r>
          </w:p>
        </w:tc>
        <w:tc>
          <w:tcPr>
            <w:tcW w:type="dxa" w:w="3456"/>
          </w:tcPr>
          <w:p>
            <w:r>
              <w:t>data/cohorts/venture.json</w:t>
            </w:r>
          </w:p>
        </w:tc>
        <w:tc>
          <w:tcPr>
            <w:tcW w:type="dxa" w:w="5184"/>
          </w:tcPr>
          <w:p>
            <w:r>
              <w:t>accession not on record: no filing reference in the source field</w:t>
            </w:r>
          </w:p>
        </w:tc>
      </w:tr>
      <w:tr>
        <w:tc>
          <w:tcPr>
            <w:tcW w:type="dxa" w:w="720"/>
          </w:tcPr>
          <w:p>
            <w:r>
              <w:t>5.5</w:t>
            </w:r>
          </w:p>
        </w:tc>
        <w:tc>
          <w:tcPr>
            <w:tcW w:type="dxa" w:w="3456"/>
          </w:tcPr>
          <w:p>
            <w:r>
              <w:t>data/benchmarks/ssss_selection.json</w:t>
            </w:r>
          </w:p>
        </w:tc>
        <w:tc>
          <w:tcPr>
            <w:tcW w:type="dxa" w:w="5184"/>
          </w:tcPr>
          <w:p>
            <w:r>
              <w:t>accession not on record: no filing reference in the source field</w:t>
            </w:r>
          </w:p>
        </w:tc>
      </w:tr>
      <w:tr>
        <w:tc>
          <w:tcPr>
            <w:tcW w:type="dxa" w:w="720"/>
          </w:tcPr>
          <w:p>
            <w:r>
              <w:t>5.6</w:t>
            </w:r>
          </w:p>
        </w:tc>
        <w:tc>
          <w:tcPr>
            <w:tcW w:type="dxa" w:w="3456"/>
          </w:tcPr>
          <w:p>
            <w:r>
              <w:t>data/benchmarks/ssss_selection.json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2026-03-11); Form 10-Q Q2-2026 (filed 2026-08-06); Form N-2 (filed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p>
            <w:r>
              <w:t>N-2 2026-07-31 accession 0001493152-26-035527 https://www.sec.gov/Archives/edgar/data/1509470/000149315226035527/formn-2.htm</w:t>
            </w:r>
          </w:p>
        </w:tc>
      </w:tr>
      <w:tr>
        <w:tc>
          <w:tcPr>
            <w:tcW w:type="dxa" w:w="720"/>
          </w:tcPr>
          <w:p>
            <w:r>
              <w:t>6.2</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6.3</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6.5</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