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Global management-consulting firm profit-sharing/401(k) plan (~$9.8B, NY)</w:t>
        <w:br/>
      </w:r>
      <w:r>
        <w:t>Product: StepStone Private Markets (tender-offer fund ('40 Act), CIK 1789470)</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CONDITIONAL-WEAK.</w:t>
      </w:r>
    </w:p>
    <w:p>
      <w:r>
        <w:t>Benchmark: Peer cohort composite: evergreen_pe without stepstone_spm (amg_pantheon, ares_pmf, hl_paf, kkr_kpec) at 10/12, KS-PME 1.0206, Direct Alpha 0.41%/yr over FY2022 to FY2026.</w:t>
      </w:r>
    </w:p>
    <w:p>
      <w:r>
        <w:t>Flags raised by the record (each restates a typed value or verdict, with its source):</w:t>
      </w:r>
    </w:p>
    <w:p>
      <w:pPr>
        <w:pStyle w:val="ListBullet"/>
      </w:pPr>
      <w:r>
        <w:t>Liquidity: structural verdict partial, facts missing: gate_history (cells 3.1, 3.3)</w:t>
      </w:r>
    </w:p>
    <w:p>
      <w:pPr>
        <w:pStyle w:val="ListBullet"/>
      </w:pPr>
      <w:r>
        <w:t>Liquidity: ILLUSTRATIVE scenario verdict conditional-weak under this plan (base or stressed demand above wrapper capacity)</w:t>
      </w:r>
    </w:p>
    <w:p>
      <w:r>
        <w:t>Evidence coverage: 41 of 41 resolvable, 0 verified, 13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Max attainable on held data 10/12.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Peer cohort composite: evergreen_pe without stepstone_spm (amg_pantheon, ares_pmf, hl_paf, kkr_kpec)</w:t>
            </w:r>
          </w:p>
        </w:tc>
        <w:tc>
          <w:tcPr>
            <w:tcW w:type="dxa" w:w="864"/>
          </w:tcPr>
          <w:p>
            <w:r>
              <w:t>10/12</w:t>
            </w:r>
          </w:p>
        </w:tc>
        <w:tc>
          <w:tcPr>
            <w:tcW w:type="dxa" w:w="3888"/>
          </w:tcPr>
          <w:p>
            <w:r>
              <w:t>KS-PME 1.0206, Direct Alpha 0.41%/yr, FY2022 to FY2026</w:t>
            </w:r>
          </w:p>
        </w:tc>
      </w:tr>
      <w:tr>
        <w:tc>
          <w:tcPr>
            <w:tcW w:type="dxa" w:w="1152"/>
          </w:tcPr>
          <w:p>
            <w:r>
              <w:t>secondary</w:t>
            </w:r>
          </w:p>
        </w:tc>
        <w:tc>
          <w:tcPr>
            <w:tcW w:type="dxa" w:w="3456"/>
          </w:tcPr>
          <w:p>
            <w:r>
              <w:t>Listed private equity investable proxy (PSP)</w:t>
            </w:r>
          </w:p>
        </w:tc>
        <w:tc>
          <w:tcPr>
            <w:tcW w:type="dxa" w:w="864"/>
          </w:tcPr>
          <w:p>
            <w:r>
              <w:t>9/12</w:t>
            </w:r>
          </w:p>
        </w:tc>
        <w:tc>
          <w:tcPr>
            <w:tcW w:type="dxa" w:w="3888"/>
          </w:tcPr>
          <w:p>
            <w:r>
              <w:t>KS-PME 1.762, Direct Alpha 12.0%/yr, 2021-03-31 to 2026-03-31</w:t>
            </w:r>
          </w:p>
        </w:tc>
      </w:tr>
      <w:tr>
        <w:tc>
          <w:tcPr>
            <w:tcW w:type="dxa" w:w="1152"/>
          </w:tcPr>
          <w:p>
            <w:r>
              <w:t>rejected</w:t>
            </w:r>
          </w:p>
        </w:tc>
        <w:tc>
          <w:tcPr>
            <w:tcW w:type="dxa" w:w="3456"/>
          </w:tcPr>
          <w:p>
            <w:r>
              <w:t>MSCI World investable proxy (URTH)</w:t>
            </w:r>
          </w:p>
        </w:tc>
        <w:tc>
          <w:tcPr>
            <w:tcW w:type="dxa" w:w="864"/>
          </w:tcPr>
          <w:p>
            <w:r>
              <w:t>8/12</w:t>
            </w:r>
          </w:p>
        </w:tc>
        <w:tc>
          <w:tcPr>
            <w:tcW w:type="dxa" w:w="3888"/>
          </w:tcPr>
          <w:p>
            <w:r>
              <w:t>rejected: strategy gate (score 8/12 but strategy_match 1/3)</w:t>
            </w:r>
          </w:p>
        </w:tc>
      </w:tr>
      <w:tr>
        <w:tc>
          <w:tcPr>
            <w:tcW w:type="dxa" w:w="1152"/>
          </w:tcPr>
          <w:p>
            <w:r>
              <w:t>rejected</w:t>
            </w:r>
          </w:p>
        </w:tc>
        <w:tc>
          <w:tcPr>
            <w:tcW w:type="dxa" w:w="3456"/>
          </w:tcPr>
          <w:p>
            <w:r>
              <w:t>Cambridge Associates US PE benchmark</w:t>
            </w:r>
          </w:p>
        </w:tc>
        <w:tc>
          <w:tcPr>
            <w:tcW w:type="dxa" w:w="864"/>
          </w:tcPr>
          <w:p>
            <w:r>
              <w:t>7/12</w:t>
            </w:r>
          </w:p>
        </w:tc>
        <w:tc>
          <w:tcPr>
            <w:tcW w:type="dxa" w:w="3888"/>
          </w:tcPr>
          <w:p>
            <w:r>
              <w:t>outranked: score 7/12 vs primary 10/12 and secondary 9/12 (only two slots). Retained in log as viable alternate</w:t>
            </w:r>
          </w:p>
        </w:tc>
      </w:tr>
    </w:tbl>
    <w:p>
      <w:pPr>
        <w:pStyle w:val="Heading1"/>
      </w:pPr>
      <w:r>
        <w:t>Exhibit B.</w:t>
      </w:r>
    </w:p>
    <w:p>
      <w:pPr>
        <w:pStyle w:val="Heading1"/>
      </w:pPr>
      <w:r>
        <w:t>Product-to-plan liquidity match</w:t>
      </w:r>
    </w:p>
    <w:p>
      <w:r>
        <w:t>Plan: Global management-consulting firm profit-sharing/401(k) plan (~$9.8B, NY). verdict is structural (typed facts, cells 3.1, 3.3, 2.7, plan-independent). scenario_verdict is ILLUSTRATIVE (demand model against the same capacity, per plan).</w:t>
      </w:r>
    </w:p>
    <w:p>
      <w:pPr>
        <w:pStyle w:val="Heading2"/>
      </w:pPr>
      <w:r>
        <w:t>Structural verdict (typed facts, plan-independent)</w:t>
      </w:r>
    </w:p>
    <w:p>
      <w:r>
        <w:t>PARTIAL</w:t>
      </w:r>
    </w:p>
    <w:p>
      <w:pPr>
        <w:pStyle w:val="ListBullet"/>
      </w:pPr>
      <w:r>
        <w:t>STRUCTURAL GAP (narrowed): this plan is PARTIALLY participant-directed per its own Form 5500 codes (2H, no 2G/404(c) code filed). A trustee-directed sleeve could hold this wrapper directly, and the daily-menu constraint (this wrapper deals 4x/year) applies only to the participant-directed portion (cell 3.5).</w:t>
      </w:r>
    </w:p>
    <w:p>
      <w:pPr>
        <w:pStyle w:val="ListBullet"/>
      </w:pPr>
      <w:r>
        <w:t>Facts missing for a structural verdict: gate_history (per-offer tendered-vs-purchased counts not printed in on-disk filings. Sept 2025 offer was Board-UPSIZED (demand signal). Proration incidence unevidenced). The verdict stays partial until they are typed from the filings.</w:t>
      </w:r>
    </w:p>
    <w:p>
      <w:pPr>
        <w:pStyle w:val="ListBullet"/>
      </w:pPr>
      <w:r>
        <w:t>Early repurchase economics: not typed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tender_offer</w:t>
            </w:r>
          </w:p>
        </w:tc>
        <w:tc>
          <w:tcPr>
            <w:tcW w:type="dxa" w:w="1152"/>
          </w:tcPr>
          <w:p>
            <w:r>
              <w:t>3.1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outstanding shares</w:t>
            </w:r>
          </w:p>
        </w:tc>
        <w:tc>
          <w:tcPr>
            <w:tcW w:type="dxa" w:w="1152"/>
          </w:tcPr>
          <w:p>
            <w:r>
              <w:t>3.1</w:t>
            </w:r>
          </w:p>
        </w:tc>
      </w:tr>
      <w:tr>
        <w:tc>
          <w:tcPr>
            <w:tcW w:type="dxa" w:w="2448"/>
          </w:tcPr>
          <w:p>
            <w:r>
              <w:t>Gating history</w:t>
            </w:r>
          </w:p>
        </w:tc>
        <w:tc>
          <w:tcPr>
            <w:tcW w:type="dxa" w:w="5760"/>
          </w:tcPr>
          <w:p>
            <w:r>
              <w:t>not typed: per-offer tendered-vs-purchased counts not printed in on-disk filings. Sept 2025 offer was Board-UPSIZED (demand signal). Proration incidence unevidenced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bl>
    <w:p>
      <w:pPr>
        <w:pStyle w:val="Heading2"/>
      </w:pPr>
      <w:r>
        <w:t>Scenario (ILLUSTRATIVE, this plan)</w:t>
      </w:r>
    </w:p>
    <w:p>
      <w:r>
        <w:t>Plan inputs (Form 5500): net assets $9.8B, liquidity tail 58.2% of accounts (20,253 separated participants with balances).</w:t>
      </w:r>
    </w:p>
    <w:p>
      <w:r>
        <w:t>Parameters (adjustable on the site, not facts): allocation 5% of plan = $490.5M, tail turnover 20%/yr, active turnover 5%/yr. Base demand $67.3M/yr = 13.7% of the position vs annual wrapper capacity 20%.</w:t>
      </w:r>
    </w:p>
    <w:p>
      <w:r>
        <w:t>Stressed (tail turnover x2, active turnover x1.5 vs base scenario): demand $129.5M/yr = 26.4% of the position. EXCEEDS annual wrapper capacity. Unmet demand rolls into later windows (gating-equivalent outcome).</w:t>
      </w:r>
    </w:p>
    <w:p>
      <w:r>
        <w:t>Scenario verdict (ILLUSTRATIVE, this plan): CONDITIONAL-WEAK.</w:t>
      </w:r>
    </w:p>
    <w:p>
      <w:pPr>
        <w:pStyle w:val="ListBullet"/>
      </w:pPr>
      <w:r>
        <w:t>Capacity: 4x per year at 5% of outstanding shares: at most 20% of the position per year. This is a FUND-level cap shared by every holder, so the plan's position is served only while offers are not oversubscribed.</w:t>
      </w:r>
    </w:p>
    <w:p>
      <w:pPr>
        <w:pStyle w:val="ListBullet"/>
      </w:pPr>
      <w:r>
        <w:t>Scenario demand (illustrative): 13.7% of the position per year vs 20% annual wrapper capacity. THIN HEADROOM: demand consumes over 60% of wrapper capacity, so proration in any oversubscribed quarter would push the shortfall into the next window.</w:t>
      </w:r>
    </w:p>
    <w:p>
      <w:pPr>
        <w:pStyle w:val="ListBullet"/>
      </w:pPr>
      <w:r>
        <w:t>Scenario verdict (ILLUSTRATIVE, this plan): conditional-weak.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plan_consulting_alumni.json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1.40% on net assets</w:t>
            </w:r>
          </w:p>
        </w:tc>
        <w:tc>
          <w:tcPr>
            <w:tcW w:type="dxa" w:w="2880"/>
          </w:tcPr>
          <w:p>
            <w:r>
              <w:t>extracted-unverified</w:t>
            </w:r>
          </w:p>
        </w:tc>
      </w:tr>
      <w:tr>
        <w:tc>
          <w:tcPr>
            <w:tcW w:type="dxa" w:w="2880"/>
          </w:tcPr>
          <w:p>
            <w:r>
              <w:t>2.2 Incentive fee terms</w:t>
            </w:r>
          </w:p>
        </w:tc>
        <w:tc>
          <w:tcPr>
            <w:tcW w:type="dxa" w:w="3600"/>
          </w:tcPr>
          <w:p>
            <w:r>
              <w:t>partial</w:t>
            </w:r>
          </w:p>
        </w:tc>
        <w:tc>
          <w:tcPr>
            <w:tcW w:type="dxa" w:w="2880"/>
          </w:tcPr>
          <w:p>
            <w:r>
              <w:t>partial</w:t>
            </w:r>
          </w:p>
        </w:tc>
      </w:tr>
      <w:tr>
        <w:tc>
          <w:tcPr>
            <w:tcW w:type="dxa" w:w="2880"/>
          </w:tcPr>
          <w:p>
            <w:r>
              <w:t>2.3 Total expense ratio &amp; waivers</w:t>
            </w:r>
          </w:p>
        </w:tc>
        <w:tc>
          <w:tcPr>
            <w:tcW w:type="dxa" w:w="3600"/>
          </w:tcPr>
          <w:p>
            <w:r>
              <w:t>1.91% net expense ratio</w:t>
            </w:r>
          </w:p>
        </w:tc>
        <w:tc>
          <w:tcPr>
            <w:tcW w:type="dxa" w:w="2880"/>
          </w:tcPr>
          <w:p>
            <w:r>
              <w:t>extracted-unverified</w:t>
            </w:r>
          </w:p>
        </w:tc>
      </w:tr>
      <w:tr>
        <w:tc>
          <w:tcPr>
            <w:tcW w:type="dxa" w:w="2880"/>
          </w:tcPr>
          <w:p>
            <w:r>
              <w:t>2.4 AFFE</w:t>
            </w:r>
          </w:p>
        </w:tc>
        <w:tc>
          <w:tcPr>
            <w:tcW w:type="dxa" w:w="3600"/>
          </w:tcPr>
          <w:p>
            <w:r>
              <w:t>AFFE 0.59%</w:t>
            </w:r>
          </w:p>
        </w:tc>
        <w:tc>
          <w:tcPr>
            <w:tcW w:type="dxa" w:w="2880"/>
          </w:tcPr>
          <w:p>
            <w:r>
              <w:t>extracted-unverified</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partial</w:t>
            </w:r>
          </w:p>
        </w:tc>
        <w:tc>
          <w:tcPr>
            <w:tcW w:type="dxa" w:w="2880"/>
          </w:tcPr>
          <w:p>
            <w:r>
              <w:t>partial</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Evergreen private equity ('40-Act funds + '34-Act conglomerate) (n=5). Evergreen PE multi-strategy (secondaries-led) tender-offer fund - founding cohort member.</w:t>
      </w:r>
    </w:p>
    <w:p>
      <w:r>
        <w:t>Cohort placement (evergreen_pe, R4 phrasing): mgmt fee: 50th percentile of cohort (n=5), at the median of 1.4 | expense ratio (bases differ, see notes): 10th percentile of cohort (n=5), below the median of 3.19 | repurchase cap: 50th percentile of cohort (n=5), at the median of 5. Stats and per-member values in data/cohorts/evergreen_pe.json, membership rationales in data/facts.</w:t>
      </w:r>
    </w:p>
    <w:p>
      <w:pPr>
        <w:pStyle w:val="ListBullet"/>
      </w:pPr>
      <w:r>
        <w:t>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kkr_kpec joins under the authorized fallback: its structural twins are Reg D vehicles with no public filings (data/roster_decisions.md - 'The kkr_kpec ruling'). Cross-wrapper caveats apply.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w:t>
      </w:r>
    </w:p>
    <w:p>
      <w:pPr>
        <w:pStyle w:val="Heading1"/>
      </w:pPr>
      <w:r>
        <w:t>Provenance</w:t>
      </w:r>
    </w:p>
    <w:p>
      <w:r>
        <w:t>Cell status for this product: structured 0, extracted-unverified 27, verified 0, computed 10, partial 3, fetched 1, n/a 13,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