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Ares Private Markets Fund (tender-offer fund ('40 Act), CIK 1876006)</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evergreen_pe without ares_pmf (amg_pantheon, hl_paf, kkr_kpec, stepstone_spm) at 10/12, KS-PME 1.0822, Direct Alpha 1.99%/yr over FY2023 to FY2026.</w:t>
      </w:r>
    </w:p>
    <w:p>
      <w:r>
        <w:t>Flags raised by the record (each restates a typed value or verdict, with its source):</w:t>
      </w:r>
    </w:p>
    <w:p>
      <w:pPr>
        <w:pStyle w:val="ListBullet"/>
      </w:pPr>
      <w:r>
        <w:t>none</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ares_pmf (amg_pantheon, hl_paf, kkr_kpec, stepstone_spm)</w:t>
            </w:r>
          </w:p>
        </w:tc>
        <w:tc>
          <w:tcPr>
            <w:tcW w:type="dxa" w:w="864"/>
          </w:tcPr>
          <w:p>
            <w:r>
              <w:t>10/12</w:t>
            </w:r>
          </w:p>
        </w:tc>
        <w:tc>
          <w:tcPr>
            <w:tcW w:type="dxa" w:w="3888"/>
          </w:tcPr>
          <w:p>
            <w:r>
              <w:t>KS-PME 1.0822, Direct Alpha 1.99%/yr, FY2023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1.5712, Direct Alpha 11.97%/yr, 2022-04-01 to 2026-03-31</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r>
        <w:tc>
          <w:tcPr>
            <w:tcW w:type="dxa" w:w="1152"/>
          </w:tcPr>
          <w:p>
            <w:r>
              <w:t>rejected</w:t>
            </w:r>
          </w:p>
        </w:tc>
        <w:tc>
          <w:tcPr>
            <w:tcW w:type="dxa" w:w="3456"/>
          </w:tcPr>
          <w:p>
            <w:r>
              <w:t>MSCI World investable proxy (URTH)</w:t>
            </w:r>
          </w:p>
        </w:tc>
        <w:tc>
          <w:tcPr>
            <w:tcW w:type="dxa" w:w="864"/>
          </w:tcPr>
          <w:p>
            <w:r>
              <w:t>6/12</w:t>
            </w:r>
          </w:p>
        </w:tc>
        <w:tc>
          <w:tcPr>
            <w:tcW w:type="dxa" w:w="3888"/>
          </w:tcPr>
          <w:p>
            <w:r>
              <w:t>rejected: strategy gate (score 6/12 but strategy_match 1/3)</w:t>
            </w:r>
          </w:p>
        </w:tc>
      </w:tr>
    </w:tbl>
    <w:p>
      <w:pPr>
        <w:pStyle w:val="Heading1"/>
      </w:pPr>
      <w:r>
        <w:t>Exhibit B.</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net assets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net assets: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5.02% net expense ratio</w:t>
            </w:r>
          </w:p>
        </w:tc>
        <w:tc>
          <w:tcPr>
            <w:tcW w:type="dxa" w:w="2880"/>
          </w:tcPr>
          <w:p>
            <w:r>
              <w:t>extracted-unverified</w:t>
            </w:r>
          </w:p>
        </w:tc>
      </w:tr>
      <w:tr>
        <w:tc>
          <w:tcPr>
            <w:tcW w:type="dxa" w:w="2880"/>
          </w:tcPr>
          <w:p>
            <w:r>
              <w:t>2.4 AFFE</w:t>
            </w:r>
          </w:p>
        </w:tc>
        <w:tc>
          <w:tcPr>
            <w:tcW w:type="dxa" w:w="3600"/>
          </w:tcPr>
          <w:p>
            <w:r>
              <w:t>AFFE 1.00%</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Secondaries-led evergreen PE tender-offer fund - wrapper and strategy twin of hl_paf/stepstone_spm.</w:t>
      </w:r>
    </w:p>
    <w:p>
      <w:r>
        <w:t>Cohort placement (evergreen_pe, R4 phrasing): mgmt fee: 50th percentile of cohort (n=5), at the median of 1.4 | expense ratio (bases differ, see notes): 90th percentile of cohort (n=5), above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28, verified 0, computed 9, partial 2,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