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escalated.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 (benchmark selection)</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cohort composite: venture without arkvx (dxyz, ssss)</w:t>
            </w:r>
          </w:p>
        </w:tc>
        <w:tc>
          <w:tcPr>
            <w:tcW w:type="dxa" w:w="864"/>
          </w:tcPr>
          <w:p>
            <w:r>
              <w:t>2/12</w:t>
            </w:r>
          </w:p>
        </w:tc>
        <w:tc>
          <w:tcPr>
            <w:tcW w:type="dxa" w:w="3888"/>
          </w:tcPr>
          <w:p>
            <w:r>
              <w:t>score 2/12 below primary threshold 7</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net expense ratio</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(venture, R4 phrasing): mgmt fee: above the cohort median of 2.5 (n=3, too small for percentile language) | expense ratio (bases differ, see notes): below the cohort median of 4.53 (n=3, too small for percentile language) | repurchase cap: only member with this fact (n=1).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