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cohort composite: private_credit without bcred (cion_ares, cliffwater_cclfx, ocic, pflex) at 10/12, KS-PME 1.0798, Direct Alpha 1.55%/yr over FY2021 to FY2025.</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bcred (cion_ares, cliffwater_cclfx, ocic, pflex)</w:t>
            </w:r>
          </w:p>
        </w:tc>
        <w:tc>
          <w:tcPr>
            <w:tcW w:type="dxa" w:w="864"/>
          </w:tcPr>
          <w:p>
            <w:r>
              <w:t>10/12</w:t>
            </w:r>
          </w:p>
        </w:tc>
        <w:tc>
          <w:tcPr>
            <w:tcW w:type="dxa" w:w="3888"/>
          </w:tcPr>
          <w:p>
            <w:r>
              <w:t>KS-PME 1.0798, Direct Alpha 1.55%/yr,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1.2378, Direct Alpha 4.38%/yr, 2021-01-07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net expense ratio</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(private_credit, R4 phrasing): mgmt fee: 50th percentile of cohort (n=5), at the median of 1.25 | expense ratio (bases differ, see notes): 70th percentile of cohort (n=5), above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