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evergreen_pe without hl_paf (amg_pantheon, ares_pmf, kkr_kpec, stepstone_spm) at 10/12, KS-PME 1.0693, Direct Alpha 1.35%/yr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evergreen_pe without hl_paf (amg_pantheon, ares_pmf, kkr_kpec, stepstone_spm)</w:t>
            </w:r>
          </w:p>
        </w:tc>
        <w:tc>
          <w:tcPr>
            <w:tcW w:type="dxa" w:w="864"/>
          </w:tcPr>
          <w:p>
            <w:r>
              <w:t>10/12</w:t>
            </w:r>
          </w:p>
        </w:tc>
        <w:tc>
          <w:tcPr>
            <w:tcW w:type="dxa" w:w="3888"/>
          </w:tcPr>
          <w:p>
            <w:r>
              <w:t>KS-PME 1.0693, Direct Alpha 1.35%/yr,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1.9565, Direct Alpha 14.37%/yr,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net expense ratio</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(evergreen_pe, R4 phrasing): mgmt fee: 50th percentile of cohort (n=5), at the median of 1.4 | expense ratio (bases differ, see notes): 70th percentile of cohort (n=5), above the median of 3.19 | repurchase cap: 50th percentile of cohort (n=5), at the median of 5. Stats and per-member values in data/cohorts/evergreen_pe.json, membership rationales in data/facts.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28, verified 0, computed 10,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