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JLL Income Property Trust, Inc. (non-traded REIT ('34 Act reporting, perpetual NAV REIT), CIK 1314152)</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Listed REIT investable proxy (VNQ) at 9/12.</w:t>
      </w:r>
    </w:p>
    <w:p>
      <w:r>
        <w:t>Flags raised by the record (each restates a typed value or verdict, with its source):</w:t>
      </w:r>
    </w:p>
    <w:p>
      <w:pPr>
        <w:pStyle w:val="ListBullet"/>
      </w:pPr>
      <w:r>
        <w:t>none</w:t>
      </w:r>
    </w:p>
    <w:p>
      <w:r>
        <w:t>Evidence coverage: 35 of 35 resolvable, 0 verified, 19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REIT investable proxy (VNQ)</w:t>
            </w:r>
          </w:p>
        </w:tc>
        <w:tc>
          <w:tcPr>
            <w:tcW w:type="dxa" w:w="864"/>
          </w:tcPr>
          <w:p>
            <w:r>
              <w:t>9/12</w:t>
            </w:r>
          </w:p>
        </w:tc>
        <w:tc>
          <w:tcPr>
            <w:tcW w:type="dxa" w:w="3888"/>
          </w:tcPr>
          <w:p>
            <w:r>
              <w:t>no computable fund return series on record: no multi-year per-class return series is printed: the FY2025 10-K gives net total return only as a 3.0% to 3.8% range across classes and an 8-quarter NAV path without distributions (cells 1.1 and 1.2)</w:t>
            </w:r>
          </w:p>
        </w:tc>
      </w:tr>
      <w:tr>
        <w:tc>
          <w:tcPr>
            <w:tcW w:type="dxa" w:w="1152"/>
          </w:tcPr>
          <w:p>
            <w:r>
              <w:t>secondary</w:t>
            </w:r>
          </w:p>
        </w:tc>
        <w:tc>
          <w:tcPr>
            <w:tcW w:type="dxa" w:w="3456"/>
          </w:tcPr>
          <w:p>
            <w:r>
              <w:t>NCREIF Fund Index - ODCE (private core RE)</w:t>
            </w:r>
          </w:p>
        </w:tc>
        <w:tc>
          <w:tcPr>
            <w:tcW w:type="dxa" w:w="864"/>
          </w:tcPr>
          <w:p>
            <w:r>
              <w:t>7/12</w:t>
            </w:r>
          </w:p>
        </w:tc>
        <w:tc>
          <w:tcPr>
            <w:tcW w:type="dxa" w:w="3888"/>
          </w:tcPr>
          <w:p>
            <w:r>
              <w:t>no computable fund return series on record: no multi-year per-class return series is printed: the FY2025 10-K gives net total return only as a 3.0% to 3.8% range across classes and an 8-quarter NAV path without distributions (cells 1.1 and 1.2)</w:t>
            </w:r>
          </w:p>
        </w:tc>
      </w:tr>
      <w:tr>
        <w:tc>
          <w:tcPr>
            <w:tcW w:type="dxa" w:w="1152"/>
          </w:tcPr>
          <w:p>
            <w:r>
              <w:t>rejected</w:t>
            </w:r>
          </w:p>
        </w:tc>
        <w:tc>
          <w:tcPr>
            <w:tcW w:type="dxa" w:w="3456"/>
          </w:tcPr>
          <w:p>
            <w:r>
              <w:t>Cambridge Associates Real Estate benchmark</w:t>
            </w:r>
          </w:p>
        </w:tc>
        <w:tc>
          <w:tcPr>
            <w:tcW w:type="dxa" w:w="864"/>
          </w:tcPr>
          <w:p>
            <w:r>
              <w:t>7/12</w:t>
            </w:r>
          </w:p>
        </w:tc>
        <w:tc>
          <w:tcPr>
            <w:tcW w:type="dxa" w:w="3888"/>
          </w:tcPr>
          <w:p>
            <w:r>
              <w:t>outranked: score 7/12 vs primary 9/12 and secondary 7/12 (only two slots). Retained in log as viable alternate</w:t>
            </w:r>
          </w:p>
        </w:tc>
      </w:tr>
      <w:tr>
        <w:tc>
          <w:tcPr>
            <w:tcW w:type="dxa" w:w="1152"/>
          </w:tcPr>
          <w:p>
            <w:r>
              <w:t>rejected</w:t>
            </w:r>
          </w:p>
        </w:tc>
        <w:tc>
          <w:tcPr>
            <w:tcW w:type="dxa" w:w="3456"/>
          </w:tcPr>
          <w:p>
            <w:r>
              <w:t>Peer cohort composite: nontraded_reit without jll_ipt (breit, sreit)</w:t>
            </w:r>
          </w:p>
        </w:tc>
        <w:tc>
          <w:tcPr>
            <w:tcW w:type="dxa" w:w="864"/>
          </w:tcPr>
          <w:p>
            <w:r>
              <w:t>4/12</w:t>
            </w:r>
          </w:p>
        </w:tc>
        <w:tc>
          <w:tcPr>
            <w:tcW w:type="dxa" w:w="3888"/>
          </w:tcPr>
          <w:p>
            <w:r>
              <w:t>score 4/12 below primary threshold 7</w:t>
            </w:r>
          </w:p>
        </w:tc>
      </w:tr>
    </w:tbl>
    <w:p>
      <w:pPr>
        <w:pStyle w:val="Heading1"/>
      </w:pPr>
      <w:r>
        <w:t>Exhibit B.</w:t>
      </w:r>
    </w:p>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nontraded_reit</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nav</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4x per year at 5% of nav: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10% / 7% hurdle</w:t>
            </w:r>
          </w:p>
        </w:tc>
        <w:tc>
          <w:tcPr>
            <w:tcW w:type="dxa" w:w="2880"/>
          </w:tcPr>
          <w:p>
            <w:r>
              <w:t>extracted-unverified</w:t>
            </w:r>
          </w:p>
        </w:tc>
      </w:tr>
      <w:tr>
        <w:tc>
          <w:tcPr>
            <w:tcW w:type="dxa" w:w="2880"/>
          </w:tcPr>
          <w:p>
            <w:r>
              <w:t>2.3 Total expense ratio &amp; waivers</w:t>
            </w:r>
          </w:p>
        </w:tc>
        <w:tc>
          <w:tcPr>
            <w:tcW w:type="dxa" w:w="3600"/>
          </w:tcPr>
          <w:p>
            <w:r>
              <w:t>extracted</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n/a</w:t>
            </w:r>
          </w:p>
        </w:tc>
        <w:tc>
          <w:tcPr>
            <w:tcW w:type="dxa" w:w="2880"/>
          </w:tcPr>
          <w:p>
            <w:r>
              <w:t>n/a - tax form not literally printed: zero hits for '1099' and 'K-1' across stripped 10-K, 10-Q and 424B3 (searched 2026-08-15)</w:t>
            </w:r>
          </w:p>
        </w:tc>
      </w:tr>
    </w:tbl>
    <w:p>
      <w:pPr>
        <w:pStyle w:val="Heading1"/>
      </w:pPr>
      <w:r>
        <w:t>Exhibit D. Peer cohort placement</w:t>
      </w:r>
    </w:p>
    <w:p>
      <w:r>
        <w:t>Cohort Non-traded NAV REITs (n=3). Perpetual NAV REIT of older vintage in the same wrapper class. NAV cadence and scale differences disclosed.</w:t>
      </w:r>
    </w:p>
    <w:p>
      <w:r>
        <w:t>Cohort placement (nontraded_reit, R4 phrasing): mgmt fee: at the cohort median of 1.25 (n=3, too small for percentile language) | expense ratio (bases differ, see notes): fact unavailable for this member | repurchase cap: above the cohort median of 2 (n=3, too small for percentile language). Stats and per-member values in data/cohorts/nontraded_reit.json, membership rationales in data/facts.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24, verified 0, computed 5, partial 5, fetched 1, n/a 19,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