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Starwood Real Estate Income Trust, Inc. (non-traded REIT ('34 Act reporting), CIK 1711929)</w:t>
        <w:br/>
      </w:r>
      <w:r>
        <w:t>Record as of 2026-09-04. DRAFT, generated by the build from the record. The decision memo for the same plan and product is a separate document.</w:t>
      </w:r>
    </w:p>
    <w:p>
      <w:pPr>
        <w:pStyle w:val="Heading1"/>
      </w:pPr>
      <w:r>
        <w:t>Summary</w:t>
      </w:r>
    </w:p>
    <w:p>
      <w:r>
        <w:t>Structural liquidity verdict: MISALIGNED (typed facts, plan-independent). Scenario verdict under this plan (ILLUSTRATIVE, default sliders): MISALIGNED.</w:t>
      </w:r>
    </w:p>
    <w:p>
      <w:r>
        <w:t>Benchmark: Listed REIT investable proxy (VNQ) at 9/12, KS-PME 0.9453, Direct Alpha -5.47%/yr over 2024-12-31 to 2025-12-31.</w:t>
      </w:r>
    </w:p>
    <w:p>
      <w:r>
        <w:t>Flags raised by the record (each restates a typed value or verdict,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KS-PME 0.9453, Direct Alpha -5.47%/yr, 2024-12-31 to 2025-12-31</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selected</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cohort composite: nontraded_reit without sreit (breit, jll_ipt)</w:t>
            </w:r>
          </w:p>
        </w:tc>
        <w:tc>
          <w:tcPr>
            <w:tcW w:type="dxa" w:w="864"/>
          </w:tcPr>
          <w:p>
            <w:r>
              <w:t>4/12</w:t>
            </w:r>
          </w:p>
        </w:tc>
        <w:tc>
          <w:tcPr>
            <w:tcW w:type="dxa" w:w="3888"/>
          </w:tcPr>
          <w:p>
            <w:r>
              <w:t>score 4/12 below primary threshold 7</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this wrapper deals 12x/year.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12</w:t>
            </w:r>
          </w:p>
        </w:tc>
        <w:tc>
          <w:tcPr>
            <w:tcW w:type="dxa" w:w="1152"/>
          </w:tcPr>
          <w:p>
            <w:r>
              <w:t>3.1</w:t>
            </w:r>
          </w:p>
        </w:tc>
      </w:tr>
      <w:tr>
        <w:tc>
          <w:tcPr>
            <w:tcW w:type="dxa" w:w="2448"/>
          </w:tcPr>
          <w:p>
            <w:r>
              <w:t>Repurchase cap</w:t>
            </w:r>
          </w:p>
        </w:tc>
        <w:tc>
          <w:tcPr>
            <w:tcW w:type="dxa" w:w="5760"/>
          </w:tcPr>
          <w:p>
            <w:r>
              <w:t>0% of aggregate nav</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0%.</w:t>
      </w:r>
    </w:p>
    <w:p>
      <w:r>
        <w:t>Stressed (tail turnover x2, active turnover x1.5 vs base scenario): demand $4.9M/yr = 12.3% of the position. EXCEEDS annual wrapper capacity. Unmet demand rolls into later windows (gating-equivalent outcome).</w:t>
      </w:r>
    </w:p>
    <w:p>
      <w:r>
        <w:t>Scenario verdict (ILLUSTRATIVE, this plan): MISALIGNED.</w:t>
      </w:r>
    </w:p>
    <w:p>
      <w:pPr>
        <w:pStyle w:val="ListBullet"/>
      </w:pPr>
      <w:r>
        <w:t>Capacity: repurchases closed (cell 3.1): 12x per year at 0% of aggregate nav. Capacity is 0% until the program reopens.</w:t>
      </w:r>
    </w:p>
    <w:p>
      <w:pPr>
        <w:pStyle w:val="ListBullet"/>
      </w:pPr>
      <w:r>
        <w:t>Scenario demand (illustrative): 7.2%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n/a</w:t>
            </w:r>
          </w:p>
        </w:tc>
        <w:tc>
          <w:tcPr>
            <w:tcW w:type="dxa" w:w="2880"/>
          </w:tcPr>
          <w:p>
            <w:r>
              <w:t>n/a - not publicly available: no TER disclosure exists for a '34-Act non-traded REIT - zero hits for 'expense ratio' in the stripped FY2025 10-K and Q2-2026 10-Q; fee-burden components evidenced in 2.1/2.2/2.6/2.7</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5% &lt; 1 year</w:t>
            </w:r>
          </w:p>
        </w:tc>
        <w:tc>
          <w:tcPr>
            <w:tcW w:type="dxa" w:w="2880"/>
          </w:tcPr>
          <w:p>
            <w:r>
              <w:t>extracted-unverified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Non-traded NAV REITs (n=3). Non-traded monthly-NAV REIT - breit's closest structural twin (class structure, repurchase plan, 2022-24 stress history).</w:t>
      </w:r>
    </w:p>
    <w:p>
      <w:r>
        <w:t>Cohort placement (nontraded_reit, R4 phrasing): mgmt fee: at the cohort median of 1.25 (n=3, too small for percentile language) | expense ratio (bases differ, see notes): fact unavailable for this member | repurchase cap: below the cohort median of 2 (n=3, too small for percentile language). Stats and per-member values in data/cohorts/nontraded_reit.json, membership rationales in data/facts.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24, verified 0, computed 9, partial 6,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