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Starwood Real Estate Income Trust, Inc. (non-traded REIT ('34 Act reporting), CIK 1711929)</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0.95, Direct Alpha -5.47%/yr. 1.11 inception 2017-12-27, 8 years.</w:t>
            </w:r>
          </w:p>
          <w:p>
            <w:r>
              <w:t>1.1 Net total return series (extracted-unverified): Printed monthly NAV-per-share series for all four classes (S/T/D/I), Jan 2025 - Dec 2025 (12 points) in FY2025 10-K Item 5; Class I path: 21.64 (Jan) -&gt; 21.48 -&gt; 21.14 -&gt; 20.97 -&gt; 20.92 -&gt; 20.92 -&gt; 20.82 -&gt; 20.59 -&gt; 20.42 -&gt; 20.26 -&gt; 20.16 -&gt; 19.96 (Dec 31, 2025).</w:t>
            </w:r>
          </w:p>
          <w:p>
            <w:r>
              <w:t>1.2 Trailing &amp; calendar-year returns (extracted-unverified): FY2025 10-K '2025 Highlights' table, classes in order T | S | D | I: Annualized Year-to-Date Total Return, without upfront selling commissions and dealer manager fees: (3.3%) | (3.2%) | (2.7%) | (2.4%); Annualized Inception-to-Date Total Return, without upfront: 4.7% | 4.7% | 5.0% | 5.4%; Annualized ITD assuming full upfront selling commissions and dealer manager fees: 4.2% | 4.1% | 4.8% | N/A; Average Annualized Distribution Rate: 5.2% | 5.2% | 6.0% | 6.2%.</w:t>
            </w:r>
          </w:p>
          <w:p>
            <w:r>
              <w:t>1.3 Gross vs net spread (partial): PARTIAL: no gross-of-fees return series and no gross/net expense ratios exist - '34-Act non-traded REIT with no financial-highlights table; mechanical search of the stripped FY2025 10-K and Q2-2026 10-Q for 'expense ratio' returns zero hits in both.</w:t>
            </w:r>
          </w:p>
          <w:p>
            <w:r>
              <w:t>1.4 Distribution history &amp; composition (extracted-unverified): FY2025: declared monthly net distributions totaling $484.8 million ($484,759K); per-share declared totals T $1.0632 | S $1.0627 | D $1.1903 | I $1.2420 (Class I $0.1035 every month of 2025).</w:t>
            </w:r>
          </w:p>
          <w:p>
            <w:r>
              <w:t>1.5 Underlying sleeve/GP performance (partial): PARTIAL: direct-ownership REIT - no underlying third-party GP funds, so no underlying-fund IRR table exists.</w:t>
            </w:r>
          </w:p>
          <w:p>
            <w:r>
              <w:t>1.8 Risk-adjusted metrics (PME etc) (computed): KS-PME 0.9453 and Direct Alpha -5.47%/yr vs Listed REIT investable proxy (VNQ) over 2024-12-31 to 2025-12-31 (series comparison).</w:t>
            </w:r>
          </w:p>
          <w:p>
            <w:r>
              <w:t>1.9 Stress-window performance (computed): Stress observation from printed fiscal-year returns (data/series_annual/sreit.csv).</w:t>
            </w:r>
          </w:p>
          <w:p>
            <w:r>
              <w:t>1.11 Track record &amp; manager tenure (extracted-unverified): Formed June 22, 2017 as a Maryland corporation; REIT election commencing with taxable year ended December 31, 2019; IPO commenced December 27, 2017 ($5.0B), follow-on offering June 2, 2021 ($10.0B), third offering August 10, 2022 ($18.0B), fourth offering commenced February 4, 2026 ($10.0B: $9.5B primary + $0.5B DRIP); net proceeds $14.3 billion raised as of March 20, 2026 - roughly 8 years of offering history at the FY2025 10-K.</w:t>
            </w:r>
          </w:p>
          <w:p>
            <w:r>
              <w:t>Not applicable: 1.6 sub-annual return series not free-public for this wrapper. 1.7 sub-annual return series not free-public for this wrapper. 1.10 not exchange-listed.</w:t>
            </w:r>
          </w:p>
        </w:tc>
      </w:tr>
      <w:tr>
        <w:tc>
          <w:tcPr>
            <w:tcW w:type="dxa" w:w="1728"/>
          </w:tcPr>
          <w:p>
            <w:r>
              <w:t>2. Fees (h)</w:t>
            </w:r>
          </w:p>
        </w:tc>
        <w:tc>
          <w:tcPr>
            <w:tcW w:type="dxa" w:w="7632"/>
          </w:tcPr>
          <w:p>
            <w:r>
              <w:t>Typed facts: 2.1 1.25% on NAV. 2.2 incentive fee: 12.5%. 2.4 no AFFE line. 2.7 early repurchase fee: 5% &lt; 1 year.</w:t>
            </w:r>
          </w:p>
          <w:p>
            <w:r>
              <w:t>2.1 Management fee (rate AND base) (extracted-unverified): RATE AND BASE: annual management fee of (i) 1.25% of NAV per annum, payable monthly (computed before accruals for the management fee, stockholder servicing fee, performance participation or distributions), plus (ii) 1.25% per annum of aggregate DST Property consideration for FMV-Option DST Properties, plus 1.25% of the NAV of Operating Partnership units held by non-Company unitholders; payable in cash, shares or OP units at the Advisor's election (Advisor has elected shares every year).</w:t>
            </w:r>
          </w:p>
          <w:p>
            <w:r>
              <w:t>2.2 Incentive fee terms (extracted-unverified): Performance participation interest held by Starwood REIT Special Limited Partner, L.L.C.</w:t>
            </w:r>
          </w:p>
          <w:p>
            <w:r>
              <w:t>2.4 AFFE (extracted-unverified): Not applicable - none exists: SREIT is a '34-Act 10-K filer (not a 1940-Act registered fund), so no 'Acquired Fund Fees and Expenses' line exists or can exist.</w:t>
            </w:r>
          </w:p>
          <w:p>
            <w:r>
              <w:t>2.5 Underlying GP economics (partial): PARTIAL: SREIT owns real estate directly - no fund-of-funds layer, so no underlying GP fee/carry table exists.</w:t>
            </w:r>
          </w:p>
          <w:p>
            <w:r>
              <w:t>2.6 Loads &amp; servicing fees (extracted-unverified): Item 5 share-class fee table (T | S | D | I): selling commissions and dealer manager fees (% of transaction price) up to 3.5% | up to 3.5% | up to 1.5% | none; stockholder servicing fee (% of NAV per annum) 0.85% | 0.85% | 0.25% | none.</w:t>
            </w:r>
          </w:p>
          <w:p>
            <w:r>
              <w:t>2.7 Early repurchase fee (extracted-unverified): Early Repurchase Deduction ACTIVE: shares that have not been outstanding for at least one year are repurchased at 95% of the transaction price - a 5% deduction.</w:t>
            </w:r>
          </w:p>
          <w:p>
            <w:r>
              <w:t>2.9 Fee peer percentile (computed): Cohort placement (nontraded_reit, R4 phrasing): mgmt fee: at the cohort median of 1.25 (n=3, too small for percentile language) | expense ratio (bases differ, see notes): fact unavailable for this member | repurchase cap: below the cohort median of 2 (n=3, too small for percentile language).</w:t>
            </w:r>
          </w:p>
          <w:p>
            <w:r>
              <w:t>Not applicable: 2.3 no TER disclosure exists for a '34-Act non-traded REIT - zero hits for 'expense ratio' in the stripped FY2025 10-K and Q2-2026 10-Q; fee-burden components evidenced in 2.1/2.2/2.6/2.7.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12x per year, 0% cap on aggregate NAV. 3.3 gating history: yes, prorated under stress. 3.9 verdict misaligned under all plans.</w:t>
            </w:r>
          </w:p>
          <w:p>
            <w:r>
              <w:t>3.1 Wrapper liquidity terms (extracted-unverified): Monthly share repurchase plan with a three-step cap SHRINK and then closure: (a) from inception (plan first announced December 2017): 2% of aggregate NAV per month + 5% per calendar quarter (measured on prior month/quarter NAV attributable to stockholders); (b) amended May 23, 2024: 0.33% of NAV per month (from May 2024) and 1% per quarter (from July 1, 2024); (c) amended June 6, 2025: 0.5% of NAV per month (from June 2025) and 1.5% per quarter (from July 1, 2025); (d) amended April 29, 2026: only death/qualifying-disability requests (up to $5.0M/month) and accounts below $5,000 (up to $5.0M/month) - 'no repurchase requests will be accepted except in connection with (i) and (ii) above' (10-Q); the 10-Q MD&amp;A states 'we suspended our share repurchase program'.</w:t>
            </w:r>
          </w:p>
          <w:p>
            <w:r>
              <w:t>3.2 Repurchase mechanics (extracted-unverified): Mechanics as printed: stockholders may request repurchase of all or any portion of shares monthly; company may repurchase all, some or none in its discretion.</w:t>
            </w:r>
          </w:p>
          <w:p>
            <w:r>
              <w:t>3.3 Repurchase history (extracted-unverified): THE GATING STORY, quantified from the filings: repurchase requests have consistently exceeded plan limits since October 2022 (issuer's own words, repeated in 10-K, 10-Q and 424B3).</w:t>
            </w:r>
          </w:p>
          <w:p>
            <w:r>
              <w:t>3.4 Portfolio liquidity profile (extracted-unverified): December 31, 2025 available liquidity $527.8M: cash and cash equivalents $200,806K + available borrowings on undrawn unsecured line of credit $177,000K + undrawn senior secured revolving credit facility $150,000K - against NAV $8.25B and debt obligations $11.75B.</w:t>
            </w:r>
          </w:p>
          <w:p>
            <w:r>
              <w:t>3.6 Fund leverage &amp; facilities (extracted-unverified): Target leverage ratio 50% to 65% (property-level and entity-level debt net of cash and loan-related restricted cash, over gross real estate assets at greater of FMV or cost plus RE-debt/securities equity, including DST Property values); charter limit: no indebtedness for money borrowed exceeding 300% of the cost of net assets (approximates 75% of cost of investments) absent override.</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MISALIGNED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Deloitte &amp; Touche LLP (Big 4).</w:t>
            </w:r>
          </w:p>
          <w:p>
            <w:r>
              <w:t>4.1 Valuation policy &amp; NAV frequency (extracted-unverified): NAV FREQUENCY: monthly, per class, calculated by the fund administrator (The Bank of New York); NAV per share generally available within 15 calendar days after month-end; transaction price generally equals prior month's NAV per share, as determined monthly.</w:t>
            </w:r>
          </w:p>
          <w:p>
            <w:r>
              <w:t>4.2 Fair-value hierarchy (L1/2/3) (extracted-unverified): Recurring fair-value table, December 31, 2025 ($000s): ASSETS - investment in real estate debt L1 $0 / L2 $0 / L3 $915,431; derivatives L2 $83,223; total L1 $0 / L2 $83,223 / L3 $915,431 / $998,654.</w:t>
            </w:r>
          </w:p>
          <w:p>
            <w:r>
              <w:t>4.3 Independent valuation agent (extracted-unverified): NAMED: independent valuation advisor is Altus Group U.S.</w:t>
            </w:r>
          </w:p>
          <w:p>
            <w:r>
              <w:t>4.4 Methodology by asset type (extracted-unverified): DCF primary methodology for real property; weighted-average key assumptions by property type at 12/31/2025 (Discount Rate / Exit Capitalization Rate): Multifamily 6.9% / 5.5%; Industrial 7.3% / 5.8%; Office 8.0% / 6.8%; Other 8.4% / 6.9%.</w:t>
            </w:r>
          </w:p>
          <w:p>
            <w:r>
              <w:t>4.5 Auditor &amp; opinion (extracted-unverified): Deloitte &amp; Touche LLP, New York, New York; 'We have served as the Company's auditor since 2017'; PCAOB ID No.</w:t>
            </w:r>
          </w:p>
          <w:p>
            <w:r>
              <w:t>4.6 NAV restatement history (extracted-unverified): None identified: searched stripped FY2025 10-K (filed 2026-03-20) and Q2-2026 10-Q (filed 2026-08-12) for 'restat' and 'error correction' on 2026-08-15 - zero NAV-restatement or error-correction events.</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vnq selected, 9/12.</w:t>
            </w:r>
          </w:p>
          <w:p>
            <w:r>
              <w:t>5.1 Self-declared benchmark (extracted-unverified): ABSENCE DOCUMENTED (searched 2026-08-15): SREIT declares NO benchmark index anywhere in the FY2025 10-K - zero hits for MSCI, ODCE and NCREIF; 'NAREIT' appears only as the standard-setter defining FFO ('FFO is a standard REIT industry metric defined by [NAREIT]') plus one incidental director-bio credential (David B.</w:t>
            </w:r>
          </w:p>
          <w:p>
            <w:r>
              <w:t>5.3 Alt asset-class indices (computed): Benchmark candidates evaluated by the engine (rubric v2, threshold 7 of 12, strategy gate below 2 of 3 ineligible).</w:t>
            </w:r>
          </w:p>
          <w:p>
            <w:r>
              <w:t>5.4 Peer universe &amp; returns (computed): Peer cohort nontraded_reit (n=3: breit, sreit, jll_ipt).</w:t>
            </w:r>
          </w:p>
          <w:p>
            <w:r>
              <w:t>5.5 PME / Direct Alpha inputs (computed): PME inputs (computed, primary comparison vs Listed REIT investable proxy (VNQ)): window 2024-12-31 to 2025-12-31 (series comparison).</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non-traded REIT.</w:t>
            </w:r>
          </w:p>
          <w:p>
            <w:r>
              <w:t>6.1 Structure map (extracted-unverified): Starwood Real Estate Income Trust, Inc.: Maryland corporation formed June 22, 2017; non-listed perpetual NAV REIT (REIT election commencing taxable year ended December 31, 2019).</w:t>
            </w:r>
          </w:p>
          <w:p>
            <w:r>
              <w:t>6.2 Strategy &amp; instrument complexity (extracted-unverified): Strategy: invests primarily in stabilized, income-oriented commercial real estate and debt secured by commercial real estate.</w:t>
            </w:r>
          </w:p>
          <w:p>
            <w:r>
              <w:t>6.3 Conflicts &amp; affiliated transactions (extracted-unverified): Related-party web as printed: Due to affiliates $235,809K at 12/31/2025 ($275,601K at 12/31/2024).</w:t>
            </w:r>
          </w:p>
          <w:p>
            <w:r>
              <w:t>6.4 Tax reporting (1099 vs K-1) (partial): PARTIAL: investor tax form NOT literally printed in the on-disk documents - zero hits for '1099' in the stripped FY2025 10-K, Q2-2026 10-Q and 424B3 Supplement No.</w:t>
            </w:r>
          </w:p>
          <w:p>
            <w:r>
              <w:t>6.5 Service-provider web (partial): PARTIAL: names as printed in the 10-K - Auditor: Deloitte &amp; Touche LLP, New York (since 2017, PCAOB ID 34).</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and 3.1/3.3. 6.8 workflow, not data.</w:t>
            </w:r>
          </w:p>
        </w:tc>
      </w:tr>
    </w:tbl>
    <w:p>
      <w:pPr>
        <w:pStyle w:val="Heading1"/>
      </w:pPr>
      <w:r>
        <w:t>Benchmark selection and justification</w:t>
      </w:r>
    </w:p>
    <w:p>
      <w:pPr>
        <w:pStyle w:val="Heading2"/>
      </w:pPr>
      <w:r>
        <w:t>Primary: Listed REIT investable proxy (VNQ) (score 9/12)</w:t>
      </w:r>
    </w:p>
    <w:p>
      <w:r>
        <w:t>Window 2024-12-31 to 2025-12-31: fund -2.4%/yr vs benchmark 3.25%/yr, KS-PME 0.9453, Direct Alpha -5.47%/yr. Disclosure: PME and alpha computed on appraisal-lagged NAVs are window-sensitive and can be smoothing-flattered. Conclusions should be read with the methodology's window-sensitivity analysis. Low confidence: 1-year window, shorter than 3 years.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reits for core plus nontraded re)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(Vanguard / MSCI US REIT)</w:t>
      </w:r>
    </w:p>
    <w:p>
      <w:pPr>
        <w:pStyle w:val="Heading2"/>
      </w:pPr>
      <w:r>
        <w:t>Secondary: NCREIF Fund Index - ODCE (private core RE) (score 7/12)</w:t>
      </w:r>
    </w:p>
    <w:p>
      <w:pPr>
        <w:pStyle w:val="ListBullet"/>
      </w:pPr>
      <w:r>
        <w:t>strategy_match 3/3: a private real estate index for a core plus nontraded re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index cited, series not held, not computable</w:t>
      </w:r>
    </w:p>
    <w:p>
      <w:pPr>
        <w:pStyle w:val="ListBullet"/>
      </w:pPr>
      <w:r>
        <w:t>data_quality 0/2: cited, not computed</w:t>
      </w:r>
    </w:p>
    <w:p>
      <w:pPr>
        <w:pStyle w:val="ListBullet"/>
      </w:pPr>
      <w:r>
        <w:t>provider_independence 2/2: provider unaffiliated with the fund (NCREIF)</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Real Estate benchmark</w:t>
            </w:r>
          </w:p>
        </w:tc>
        <w:tc>
          <w:tcPr>
            <w:tcW w:type="dxa" w:w="1152"/>
          </w:tcPr>
          <w:p>
            <w:r>
              <w:t>7/12</w:t>
            </w:r>
          </w:p>
        </w:tc>
        <w:tc>
          <w:tcPr>
            <w:tcW w:type="dxa" w:w="4752"/>
          </w:tcPr>
          <w:p>
            <w:r>
              <w:t>outranked: score 7/12 vs primary 9/12 and secondary 7/12 (only two slots). Retained in log as viable alternate</w:t>
            </w:r>
          </w:p>
        </w:tc>
      </w:tr>
      <w:tr>
        <w:tc>
          <w:tcPr>
            <w:tcW w:type="dxa" w:w="3456"/>
          </w:tcPr>
          <w:p>
            <w:r>
              <w:t>Peer cohort composite: nontraded_reit without sreit (breit, jll_ipt)</w:t>
            </w:r>
          </w:p>
        </w:tc>
        <w:tc>
          <w:tcPr>
            <w:tcW w:type="dxa" w:w="1152"/>
          </w:tcPr>
          <w:p>
            <w:r>
              <w:t>4/12</w:t>
            </w:r>
          </w:p>
        </w:tc>
        <w:tc>
          <w:tcPr>
            <w:tcW w:type="dxa" w:w="4752"/>
          </w:tcPr>
          <w:p>
            <w:r>
              <w:t>score 4/12 below primary threshold 7</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MISALIGNED</w:t>
      </w:r>
    </w:p>
    <w:p>
      <w:pPr>
        <w:pStyle w:val="ListBullet"/>
      </w:pPr>
      <w:r>
        <w:t>STRUCTURAL GAP: a participant-directed 404(c) menu assumes daily pricing and daily participant liquidity, whereas this wrapper deals 12x/year.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pPr>
      <w:r>
        <w:t>Early repurchase economics: 5%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nontraded_reit</w:t>
            </w:r>
          </w:p>
        </w:tc>
        <w:tc>
          <w:tcPr>
            <w:tcW w:type="dxa" w:w="1152"/>
          </w:tcPr>
          <w:p>
            <w:r>
              <w:t>6.1</w:t>
            </w:r>
          </w:p>
        </w:tc>
      </w:tr>
      <w:tr>
        <w:tc>
          <w:tcPr>
            <w:tcW w:type="dxa" w:w="2448"/>
          </w:tcPr>
          <w:p>
            <w:r>
              <w:t>Dealing cadence per year</w:t>
            </w:r>
          </w:p>
        </w:tc>
        <w:tc>
          <w:tcPr>
            <w:tcW w:type="dxa" w:w="5760"/>
          </w:tcPr>
          <w:p>
            <w:r>
              <w:t>12</w:t>
            </w:r>
          </w:p>
        </w:tc>
        <w:tc>
          <w:tcPr>
            <w:tcW w:type="dxa" w:w="1152"/>
          </w:tcPr>
          <w:p>
            <w:r>
              <w:t>3.1</w:t>
            </w:r>
          </w:p>
        </w:tc>
      </w:tr>
      <w:tr>
        <w:tc>
          <w:tcPr>
            <w:tcW w:type="dxa" w:w="2448"/>
          </w:tcPr>
          <w:p>
            <w:r>
              <w:t>Repurchase cap</w:t>
            </w:r>
          </w:p>
        </w:tc>
        <w:tc>
          <w:tcPr>
            <w:tcW w:type="dxa" w:w="5760"/>
          </w:tcPr>
          <w:p>
            <w:r>
              <w:t>0% of aggregate nav</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suspended</w:t>
            </w:r>
          </w:p>
        </w:tc>
        <w:tc>
          <w:tcPr>
            <w:tcW w:type="dxa" w:w="1152"/>
          </w:tcPr>
          <w:p>
            <w:r>
              <w:t>3.1</w:t>
            </w:r>
          </w:p>
        </w:tc>
      </w:tr>
      <w:tr>
        <w:tc>
          <w:tcPr>
            <w:tcW w:type="dxa" w:w="2448"/>
          </w:tcPr>
          <w:p>
            <w:r>
              <w:t>Early repurchase fee</w:t>
            </w:r>
          </w:p>
        </w:tc>
        <w:tc>
          <w:tcPr>
            <w:tcW w:type="dxa" w:w="5760"/>
          </w:tcPr>
          <w:p>
            <w:r>
              <w:t>5% if held &lt; 1 year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0%.</w:t>
      </w:r>
    </w:p>
    <w:p>
      <w:r>
        <w:t>Stressed (tail turnover x2, active turnover x1.5 vs base scenario): demand $4.9M/yr = 12.3% of the position. EXCEEDS annual wrapper capacity. Unmet demand rolls into later windows (gating-equivalent outcome).</w:t>
      </w:r>
    </w:p>
    <w:p>
      <w:r>
        <w:t>Scenario verdict (ILLUSTRATIVE, this plan): MISALIGNED.</w:t>
      </w:r>
    </w:p>
    <w:p>
      <w:pPr>
        <w:pStyle w:val="ListBullet"/>
      </w:pPr>
      <w:r>
        <w:t>Capacity: repurchases closed (cell 3.1): 12x per year at 0% of aggregate nav. Capacity is 0% until the program reopens.</w:t>
      </w:r>
    </w:p>
    <w:p>
      <w:pPr>
        <w:pStyle w:val="ListBullet"/>
      </w:pPr>
      <w:r>
        <w:t>Scenario demand (illustrative): 7.2% of the position per year vs 0% annual wrapper capacity. EXCEEDS: repurchases are closed, so every request waits for the program to reopen.</w:t>
      </w:r>
    </w:p>
    <w:p>
      <w:pPr>
        <w:pStyle w:val="ListBullet"/>
      </w:pPr>
      <w:r>
        <w:t>Scenario verdict (ILLUSTRATIVE, this plan): misaligned.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Peer cohort placement</w:t>
      </w:r>
    </w:p>
    <w:p>
      <w:r>
        <w:t>Evidence depth tier: COHORT. Cohort: Non-traded NAV REITs (n=3). Membership rationale: Non-traded monthly-NAV REIT - breit's closest structural twin (class structure, repurchase plan, 2022-24 stress history).</w:t>
      </w:r>
    </w:p>
    <w:p>
      <w:r>
        <w:t>Cohort placement (nontraded_reit, R4 phrasing): mgmt fee: at the cohort median of 1.25 (n=3, too small for percentile language) | expense ratio (bases differ, see notes): fact unavailable for this member | repurchase cap: below the cohort median of 2 (n=3, too small for percentile language). Stats and per-member values in data/cohorts/nontraded_reit.json, membership rationales in data/facts.</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MISALIGNED (typed facts, plan-independent). Scenario verdict under US industrial manufacturer 401(k) plan (~$0.8B, OH) (ILLUSTRATIVE): MISALIGNED.</w:t>
      </w:r>
    </w:p>
    <w:p>
      <w:r>
        <w:t>Benchmark: Listed REIT investable proxy (VNQ) selected as primary at 9/12, secondary NCREIF Fund Index - ODCE (private core RE) at 7/12.</w:t>
      </w:r>
    </w:p>
    <w:p>
      <w:r>
        <w:t>Flags raised by the record (each restates a typed value or verdict already in the artifacts, with its source):</w:t>
      </w:r>
    </w:p>
    <w:p>
      <w:pPr>
        <w:pStyle w:val="ListBullet"/>
      </w:pPr>
      <w:r>
        <w:t>Benchmark: low confidence: 1-year window, shorter than 3 years (benchmark comparison)</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9, partial 6,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2026-03-20) Item 5; Form 10-Q Q2-2026 (filed 2026-08-12);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1.2</w:t>
            </w:r>
          </w:p>
        </w:tc>
        <w:tc>
          <w:tcPr>
            <w:tcW w:type="dxa" w:w="3456"/>
          </w:tcPr>
          <w:p>
            <w:r>
              <w:t>Form 10-K FY2025 (filed 2026-03-20) MD&amp;A '2025 Highlights'; Form 10-Q Q2-2026 (filed 2026-08-12) MD&amp;A '2026 Highlights'</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1.3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1.4</w:t>
            </w:r>
          </w:p>
        </w:tc>
        <w:tc>
          <w:tcPr>
            <w:tcW w:type="dxa" w:w="3456"/>
          </w:tcPr>
          <w:p>
            <w:r>
              <w:t>Form 10-K FY2025 (filed 2026-03-20) MD&amp;A Distributions; Form 10-Q Q2-2026 (filed 2026-08-12) Recent Developments and 2026 Highlights</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1.5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1.8</w:t>
            </w:r>
          </w:p>
        </w:tc>
        <w:tc>
          <w:tcPr>
            <w:tcW w:type="dxa" w:w="3456"/>
          </w:tcPr>
          <w:p>
            <w:r>
              <w:t>data/benchmarks/sreit_selection.json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2.1</w:t>
            </w:r>
          </w:p>
        </w:tc>
        <w:tc>
          <w:tcPr>
            <w:tcW w:type="dxa" w:w="3456"/>
          </w:tcPr>
          <w:p>
            <w:r>
              <w:t>Form 10-K FY2025 (filed 2026-03-20); Form 10-Q Q2-2026 (filed 2026-08-12) Note 10</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2.2</w:t>
            </w:r>
          </w:p>
        </w:tc>
        <w:tc>
          <w:tcPr>
            <w:tcW w:type="dxa" w:w="3456"/>
          </w:tcPr>
          <w:p>
            <w:r>
              <w:t>Form 10-K FY2025 (filed 2026-03-20); Form 10-Q Q2-2026 (filed 2026-08-12) Note 10</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2.4</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2.6</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2.7</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2.9</w:t>
            </w:r>
          </w:p>
        </w:tc>
        <w:tc>
          <w:tcPr>
            <w:tcW w:type="dxa" w:w="3456"/>
          </w:tcPr>
          <w:p>
            <w:r>
              <w:t>data/cohorts/nontraded_reit.json</w:t>
            </w:r>
          </w:p>
        </w:tc>
        <w:tc>
          <w:tcPr>
            <w:tcW w:type="dxa" w:w="5184"/>
          </w:tcPr>
          <w:p>
            <w:r>
              <w:t>accession not on record: no filing reference in the source field</w:t>
            </w:r>
          </w:p>
        </w:tc>
      </w:tr>
      <w:tr>
        <w:tc>
          <w:tcPr>
            <w:tcW w:type="dxa" w:w="720"/>
          </w:tcPr>
          <w:p>
            <w:r>
              <w:t>3.1</w:t>
            </w:r>
          </w:p>
        </w:tc>
        <w:tc>
          <w:tcPr>
            <w:tcW w:type="dxa" w:w="3456"/>
          </w:tcPr>
          <w:p>
            <w:r>
              <w:t>Form 10-K FY2025 (filed 2026-03-20) Item 5; Form 10-Q Q2-2026 (filed 2026-08-12) Note 9 and Part II Item 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3.2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3.3</w:t>
            </w:r>
          </w:p>
        </w:tc>
        <w:tc>
          <w:tcPr>
            <w:tcW w:type="dxa" w:w="3456"/>
          </w:tcPr>
          <w:p>
            <w:r>
              <w:t>Form 10-K FY2025 (filed 2026-03-20) Item 5 and cash-flow statement; Form 10-Q Q2-2026 (filed 2026-08-12) Part II Item 2 and Recent Developments;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3.4</w:t>
            </w:r>
          </w:p>
        </w:tc>
        <w:tc>
          <w:tcPr>
            <w:tcW w:type="dxa" w:w="3456"/>
          </w:tcPr>
          <w:p>
            <w:r>
              <w:t>Form 10-K FY2025 (filed 2026-03-20) MD&amp;A Liquidity and Capital Resources; Form 10-Q Q2-2026 (filed 2026-08-12) Note 6 and MD&amp;A</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3.6</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3.8</w:t>
            </w:r>
          </w:p>
        </w:tc>
        <w:tc>
          <w:tcPr>
            <w:tcW w:type="dxa" w:w="3456"/>
          </w:tcPr>
          <w:p>
            <w:r>
              <w:t>data/liquidity/plan_consulting_alumni__sreit_match.json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data/liquidity/plan_consulting_alumni__sreit_match.json</w:t>
            </w:r>
          </w:p>
        </w:tc>
        <w:tc>
          <w:tcPr>
            <w:tcW w:type="dxa" w:w="5184"/>
          </w:tcPr>
          <w:p>
            <w:r>
              <w:t>accession not on record: no filing reference in the source field</w:t>
            </w:r>
          </w:p>
        </w:tc>
      </w:tr>
      <w:tr>
        <w:tc>
          <w:tcPr>
            <w:tcW w:type="dxa" w:w="720"/>
          </w:tcPr>
          <w:p>
            <w:r>
              <w:t>4.1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4.4</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4.5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4.6</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5.1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5.3</w:t>
            </w:r>
          </w:p>
        </w:tc>
        <w:tc>
          <w:tcPr>
            <w:tcW w:type="dxa" w:w="3456"/>
          </w:tcPr>
          <w:p>
            <w:r>
              <w:t>data/benchmarks/sreit_selection.json</w:t>
            </w:r>
          </w:p>
        </w:tc>
        <w:tc>
          <w:tcPr>
            <w:tcW w:type="dxa" w:w="5184"/>
          </w:tcPr>
          <w:p>
            <w:r>
              <w:t>accession not on record: no filing reference in the source field</w:t>
            </w:r>
          </w:p>
        </w:tc>
      </w:tr>
      <w:tr>
        <w:tc>
          <w:tcPr>
            <w:tcW w:type="dxa" w:w="720"/>
          </w:tcPr>
          <w:p>
            <w:r>
              <w:t>5.4</w:t>
            </w:r>
          </w:p>
        </w:tc>
        <w:tc>
          <w:tcPr>
            <w:tcW w:type="dxa" w:w="3456"/>
          </w:tcPr>
          <w:p>
            <w:r>
              <w:t>data/cohorts/nontraded_reit.json</w:t>
            </w:r>
          </w:p>
        </w:tc>
        <w:tc>
          <w:tcPr>
            <w:tcW w:type="dxa" w:w="5184"/>
          </w:tcPr>
          <w:p>
            <w:r>
              <w:t>accession not on record: no filing reference in the source field</w:t>
            </w:r>
          </w:p>
        </w:tc>
      </w:tr>
      <w:tr>
        <w:tc>
          <w:tcPr>
            <w:tcW w:type="dxa" w:w="720"/>
          </w:tcPr>
          <w:p>
            <w:r>
              <w:t>5.5</w:t>
            </w:r>
          </w:p>
        </w:tc>
        <w:tc>
          <w:tcPr>
            <w:tcW w:type="dxa" w:w="3456"/>
          </w:tcPr>
          <w:p>
            <w:r>
              <w:t>data/benchmarks/sreit_selection.json</w:t>
            </w:r>
          </w:p>
        </w:tc>
        <w:tc>
          <w:tcPr>
            <w:tcW w:type="dxa" w:w="5184"/>
          </w:tcPr>
          <w:p>
            <w:r>
              <w:t>accession not on record: no filing reference in the source field</w:t>
            </w:r>
          </w:p>
        </w:tc>
      </w:tr>
      <w:tr>
        <w:tc>
          <w:tcPr>
            <w:tcW w:type="dxa" w:w="720"/>
          </w:tcPr>
          <w:p>
            <w:r>
              <w:t>5.6</w:t>
            </w:r>
          </w:p>
        </w:tc>
        <w:tc>
          <w:tcPr>
            <w:tcW w:type="dxa" w:w="3456"/>
          </w:tcPr>
          <w:p>
            <w:r>
              <w:t>data/benchmarks/sreit_selection.json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6.2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6.3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6.4</w:t>
            </w:r>
          </w:p>
        </w:tc>
        <w:tc>
          <w:tcPr>
            <w:tcW w:type="dxa" w:w="3456"/>
          </w:tcPr>
          <w:p>
            <w:r>
              <w:t>Form 10-K FY2025 (filed 2026-03-20); Form 10-Q Q2-2026 (filed 2026-08-12);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6.5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bl>
    <w:p>
      <w:r>
        <w:t>Data sources: SEC EDGAR filings (3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