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Neostellar Capital Corp. (fka SuRo Capital Corp., SSSS) (LISTED BDC (exchange-traded; pre-IPO growth holdings), CIK 1509470)</w:t>
        <w:br/>
      </w:r>
      <w:r>
        <w:t>Record as of 2026-09-04. DRAFT, generated by the build from the record. The decision memo for the same plan and product is a separate document.</w:t>
      </w:r>
    </w:p>
    <w:p>
      <w:pPr>
        <w:pStyle w:val="Heading1"/>
      </w:pPr>
      <w:r>
        <w:t>Summary</w:t>
      </w:r>
    </w:p>
    <w:p>
      <w:r>
        <w:t>Structural liquidity verdict: ALIGNED-MECHANICAL (typed facts, plan-independent). Scenario verdict under this plan (ILLUSTRATIVE, default sliders): ALIGNED-MECHANICAL.</w:t>
      </w:r>
    </w:p>
    <w:p>
      <w:r>
        <w:t>Benchmark: escalated. NO MEANINGFUL BENCHMARK CONSTRUCTIBLE from available data. Required next: public NAV series (quarterly filings) plus a premium/NAV decomposition before any comparator is defensible.</w:t>
      </w:r>
    </w:p>
    <w:p>
      <w:r>
        <w:t>Flags raised by the record (each restates a typed value or verdict, with its source):</w:t>
      </w:r>
    </w:p>
    <w:p>
      <w:pPr>
        <w:pStyle w:val="ListBullet"/>
      </w:pPr>
      <w:r>
        <w:t>Benchmark: NO MEANINGFUL BENCHMARK CONSTRUCTIBLE from available data. Required next: public NAV series (quarterly filings) plus a premium/NAV decomposition before any comparator is defensible. (benchmark selection)</w:t>
      </w:r>
    </w:p>
    <w:p>
      <w:r>
        <w:t>Evidence coverage: 43 of 43 resolvable, 0 verified, 11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No candidate is eligible on held data.</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Listed private equity investable proxy (PSP)</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Peer cohort composite: venture without ssss (arkvx, dxyz)</w:t>
            </w:r>
          </w:p>
        </w:tc>
        <w:tc>
          <w:tcPr>
            <w:tcW w:type="dxa" w:w="864"/>
          </w:tcPr>
          <w:p>
            <w:r>
              <w:t>4/12</w:t>
            </w:r>
          </w:p>
        </w:tc>
        <w:tc>
          <w:tcPr>
            <w:tcW w:type="dxa" w:w="3888"/>
          </w:tcPr>
          <w:p>
            <w:r>
              <w:t>fund price is premium/discount-driven and decoupled from NAV. Benchmarking the price benchmarks the premium, not the portfolio</w:t>
            </w:r>
          </w:p>
        </w:tc>
      </w:tr>
    </w:tbl>
    <w:p>
      <w:pPr>
        <w:pStyle w:val="Heading1"/>
      </w:pPr>
      <w:r>
        <w:t>Exhibit B.</w:t>
      </w:r>
    </w:p>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listed_bdc</w:t>
            </w:r>
          </w:p>
        </w:tc>
        <w:tc>
          <w:tcPr>
            <w:tcW w:type="dxa" w:w="1152"/>
          </w:tcPr>
          <w:p>
            <w:r>
              <w:t>6.1</w:t>
            </w:r>
          </w:p>
        </w:tc>
      </w:tr>
      <w:tr>
        <w:tc>
          <w:tcPr>
            <w:tcW w:type="dxa" w:w="2448"/>
          </w:tcPr>
          <w:p>
            <w:r>
              <w:t>Dealing cadence per year</w:t>
            </w:r>
          </w:p>
        </w:tc>
        <w:tc>
          <w:tcPr>
            <w:tcW w:type="dxa" w:w="5760"/>
          </w:tcPr>
          <w:p>
            <w:r>
              <w:t>252</w:t>
            </w:r>
          </w:p>
        </w:tc>
        <w:tc>
          <w:tcPr>
            <w:tcW w:type="dxa" w:w="1152"/>
          </w:tcPr>
          <w:p>
            <w:r>
              <w:t>3.1</w:t>
            </w:r>
          </w:p>
        </w:tc>
      </w:tr>
      <w:tr>
        <w:tc>
          <w:tcPr>
            <w:tcW w:type="dxa" w:w="2448"/>
          </w:tcPr>
          <w:p>
            <w:r>
              <w:t>Repurchase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not applicable (exchange-traded).</w:t>
      </w:r>
    </w:p>
    <w:p>
      <w:r>
        <w:t>Stressed (tail turnover x2, active turnover x1.5 vs base scenario): demand $4.9M/yr = 12.3%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r>
        <w:t>Cited: cell 3.1, cell 3.3, cell 3.5, cell 3.7, cell 3.9, cell 2.7,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1.75% on gross assets incl. borrowings</w:t>
            </w:r>
          </w:p>
        </w:tc>
        <w:tc>
          <w:tcPr>
            <w:tcW w:type="dxa" w:w="2880"/>
          </w:tcPr>
          <w:p>
            <w:r>
              <w:t>extracted-unverified</w:t>
            </w:r>
          </w:p>
        </w:tc>
      </w:tr>
      <w:tr>
        <w:tc>
          <w:tcPr>
            <w:tcW w:type="dxa" w:w="2880"/>
          </w:tcPr>
          <w:p>
            <w:r>
              <w:t>2.2 Incentive fee terms</w:t>
            </w:r>
          </w:p>
        </w:tc>
        <w:tc>
          <w:tcPr>
            <w:tcW w:type="dxa" w:w="3600"/>
          </w:tcPr>
          <w:p>
            <w:r>
              <w:t>incentive fee: 7% hurdle</w:t>
            </w:r>
          </w:p>
        </w:tc>
        <w:tc>
          <w:tcPr>
            <w:tcW w:type="dxa" w:w="2880"/>
          </w:tcPr>
          <w:p>
            <w:r>
              <w:t>extracted-unverified</w:t>
            </w:r>
          </w:p>
        </w:tc>
      </w:tr>
      <w:tr>
        <w:tc>
          <w:tcPr>
            <w:tcW w:type="dxa" w:w="2880"/>
          </w:tcPr>
          <w:p>
            <w:r>
              <w:t>2.3 Total expense ratio &amp; waivers</w:t>
            </w:r>
          </w:p>
        </w:tc>
        <w:tc>
          <w:tcPr>
            <w:tcW w:type="dxa" w:w="3600"/>
          </w:tcPr>
          <w:p>
            <w:r>
              <w:t>9.46% net expense ratio</w:t>
            </w:r>
          </w:p>
        </w:tc>
        <w:tc>
          <w:tcPr>
            <w:tcW w:type="dxa" w:w="2880"/>
          </w:tcPr>
          <w:p>
            <w:r>
              <w:t>extracted-unverified</w:t>
            </w:r>
          </w:p>
        </w:tc>
      </w:tr>
      <w:tr>
        <w:tc>
          <w:tcPr>
            <w:tcW w:type="dxa" w:w="2880"/>
          </w:tcPr>
          <w:p>
            <w:r>
              <w:t>2.4 AFFE</w:t>
            </w:r>
          </w:p>
        </w:tc>
        <w:tc>
          <w:tcPr>
            <w:tcW w:type="dxa" w:w="3600"/>
          </w:tcPr>
          <w:p>
            <w:r>
              <w:t>AFFE 0.06%</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n/a</w:t>
            </w:r>
          </w:p>
        </w:tc>
        <w:tc>
          <w:tcPr>
            <w:tcW w:type="dxa" w:w="2880"/>
          </w:tcPr>
          <w:p>
            <w:r>
              <w:t>n/a - exchange-traded: no investor-level repurchase/redemption exists, so no early-repurchase fee is possible; exit is on-exchange sale at market price</w:t>
            </w:r>
          </w:p>
        </w:tc>
      </w:tr>
      <w:tr>
        <w:tc>
          <w:tcPr>
            <w:tcW w:type="dxa" w:w="2880"/>
          </w:tcPr>
          <w:p>
            <w:r>
              <w:t>6.4 Tax reporting (1099 vs K-1)</w:t>
            </w:r>
          </w:p>
        </w:tc>
        <w:tc>
          <w:tcPr>
            <w:tcW w:type="dxa" w:w="3600"/>
          </w:tcPr>
          <w:p>
            <w:r>
              <w:t>partial</w:t>
            </w:r>
          </w:p>
        </w:tc>
        <w:tc>
          <w:tcPr>
            <w:tcW w:type="dxa" w:w="2880"/>
          </w:tcPr>
          <w:p>
            <w:r>
              <w:t>partial</w:t>
            </w:r>
          </w:p>
        </w:tc>
      </w:tr>
    </w:tbl>
    <w:p>
      <w:pPr>
        <w:pStyle w:val="Heading1"/>
      </w:pPr>
      <w:r>
        <w:t>Exhibit D. Peer cohort placement</w:t>
      </w:r>
    </w:p>
    <w:p>
      <w:r>
        <w:t>Cohort Pre-IPO / venture growth (listed CEF + listed BDC + interval fund) (n=3). Listed BDC (fka SuRo Capital) holding late-stage growth equity, the second market-priced venture vehicle. Gives dxyz a premium/discount comparable. Membership CONDITIONAL on strategy continuity through the Neostellar rename (verification queue).</w:t>
      </w:r>
    </w:p>
    <w:p>
      <w:r>
        <w:t>Cohort placement (venture, R4 phrasing): mgmt fee: below the cohort median of 2.5 (n=3, too small for percentile language) | expense ratio (bases differ, see notes): above the cohort median of 4.53 (n=3, too small for percentile language) | repurchase cap: fact unavailable for this member. Stats and per-member values in data/cohorts/venture.json, membership rationales in data/facts.</w:t>
      </w:r>
    </w:p>
    <w:p>
      <w:pPr>
        <w:pStyle w:val="ListBullet"/>
      </w:pPr>
      <w:r>
        <w:t>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NAV-CADENCE MIX: daily, monthly, and quarterly NAV processes embed different appraisal smoothing. Volatility and drawdown comparisons inherit that difference (see de-smoothing lab). [typed per product: arkvx: daily, dxyz: quarterly, ssss: quarterly]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27, verified 0, computed 11, partial 4, fetched 1, n/a 11,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