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casual-dining restaurant group 401(k) plan (~$1.6B, FL)</w:t>
        <w:br/>
      </w:r>
      <w:r>
        <w:t>Product: AMG Pantheon Fund, LLC (tender-offer fund ('40 Act), evergreen PE, CIK 1609211)</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t>
      </w:r>
    </w:p>
    <w:p>
      <w:r>
        <w:t>Benchmark: Peer cohort composite: evergreen_pe without amg_pantheon (ares_pmf, hl_paf, kkr_kpec, stepstone_spm) at 10/12, KS-PME 0.8357, Direct Alpha -3.53%/yr over FY2022 to FY2026.</w:t>
      </w:r>
    </w:p>
    <w:p>
      <w:r>
        <w:t>Flags raised by the record (each restates a typed value or verdict, with its source):</w:t>
      </w:r>
    </w:p>
    <w:p>
      <w:pPr>
        <w:pStyle w:val="ListBullet"/>
      </w:pPr>
      <w:r>
        <w:t>none</w:t>
      </w:r>
    </w:p>
    <w:p>
      <w:r>
        <w:t>Evidence coverage: 40 of 40 resolvable, 0 verified, 14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Max attainable on held data 10/12.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Peer cohort composite: evergreen_pe without amg_pantheon (ares_pmf, hl_paf, kkr_kpec, stepstone_spm)</w:t>
            </w:r>
          </w:p>
        </w:tc>
        <w:tc>
          <w:tcPr>
            <w:tcW w:type="dxa" w:w="864"/>
          </w:tcPr>
          <w:p>
            <w:r>
              <w:t>10/12</w:t>
            </w:r>
          </w:p>
        </w:tc>
        <w:tc>
          <w:tcPr>
            <w:tcW w:type="dxa" w:w="3888"/>
          </w:tcPr>
          <w:p>
            <w:r>
              <w:t>KS-PME 0.8357, Direct Alpha -3.53%/yr, FY2022 to FY2026</w:t>
            </w:r>
          </w:p>
        </w:tc>
      </w:tr>
      <w:tr>
        <w:tc>
          <w:tcPr>
            <w:tcW w:type="dxa" w:w="1152"/>
          </w:tcPr>
          <w:p>
            <w:r>
              <w:t>secondary</w:t>
            </w:r>
          </w:p>
        </w:tc>
        <w:tc>
          <w:tcPr>
            <w:tcW w:type="dxa" w:w="3456"/>
          </w:tcPr>
          <w:p>
            <w:r>
              <w:t>Listed private equity investable proxy (PSP)</w:t>
            </w:r>
          </w:p>
        </w:tc>
        <w:tc>
          <w:tcPr>
            <w:tcW w:type="dxa" w:w="864"/>
          </w:tcPr>
          <w:p>
            <w:r>
              <w:t>9/12</w:t>
            </w:r>
          </w:p>
        </w:tc>
        <w:tc>
          <w:tcPr>
            <w:tcW w:type="dxa" w:w="3888"/>
          </w:tcPr>
          <w:p>
            <w:r>
              <w:t>KS-PME 1.5919, Direct Alpha 6.87%/yr, 2019-03-31 to 2026-03-31</w:t>
            </w:r>
          </w:p>
        </w:tc>
      </w:tr>
      <w:tr>
        <w:tc>
          <w:tcPr>
            <w:tcW w:type="dxa" w:w="1152"/>
          </w:tcPr>
          <w:p>
            <w:r>
              <w:t>rejected</w:t>
            </w:r>
          </w:p>
        </w:tc>
        <w:tc>
          <w:tcPr>
            <w:tcW w:type="dxa" w:w="3456"/>
          </w:tcPr>
          <w:p>
            <w:r>
              <w:t>MSCI World investable proxy (URTH)</w:t>
            </w:r>
          </w:p>
        </w:tc>
        <w:tc>
          <w:tcPr>
            <w:tcW w:type="dxa" w:w="864"/>
          </w:tcPr>
          <w:p>
            <w:r>
              <w:t>8/12</w:t>
            </w:r>
          </w:p>
        </w:tc>
        <w:tc>
          <w:tcPr>
            <w:tcW w:type="dxa" w:w="3888"/>
          </w:tcPr>
          <w:p>
            <w:r>
              <w:t>rejected: strategy gate (score 8/12 but strategy_match 1/3)</w:t>
            </w:r>
          </w:p>
        </w:tc>
      </w:tr>
      <w:tr>
        <w:tc>
          <w:tcPr>
            <w:tcW w:type="dxa" w:w="1152"/>
          </w:tcPr>
          <w:p>
            <w:r>
              <w:t>rejected</w:t>
            </w:r>
          </w:p>
        </w:tc>
        <w:tc>
          <w:tcPr>
            <w:tcW w:type="dxa" w:w="3456"/>
          </w:tcPr>
          <w:p>
            <w:r>
              <w:t>Cambridge Associates US PE benchmark</w:t>
            </w:r>
          </w:p>
        </w:tc>
        <w:tc>
          <w:tcPr>
            <w:tcW w:type="dxa" w:w="864"/>
          </w:tcPr>
          <w:p>
            <w:r>
              <w:t>7/12</w:t>
            </w:r>
          </w:p>
        </w:tc>
        <w:tc>
          <w:tcPr>
            <w:tcW w:type="dxa" w:w="3888"/>
          </w:tcPr>
          <w:p>
            <w:r>
              <w:t>outranked: score 7/12 vs primary 10/12 and secondary 9/12 (only two slots). Retained in log as viable alternate</w:t>
            </w:r>
          </w:p>
        </w:tc>
      </w:tr>
    </w:tbl>
    <w:p>
      <w:pPr>
        <w:pStyle w:val="Heading1"/>
      </w:pPr>
      <w:r>
        <w:t>Exhibit B.</w:t>
      </w:r>
    </w:p>
    <w:p>
      <w:pPr>
        <w:pStyle w:val="Heading1"/>
      </w:pPr>
      <w:r>
        <w:t>Product-to-plan liquidity match</w:t>
      </w:r>
    </w:p>
    <w:p>
      <w:r>
        <w:t>Plan: US casual-dining restaurant group 401(k) plan (~$1.6B, FL).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tender_offer</w:t>
            </w:r>
          </w:p>
        </w:tc>
        <w:tc>
          <w:tcPr>
            <w:tcW w:type="dxa" w:w="1152"/>
          </w:tcPr>
          <w:p>
            <w:r>
              <w:t>6.1</w:t>
            </w:r>
          </w:p>
        </w:tc>
      </w:tr>
      <w:tr>
        <w:tc>
          <w:tcPr>
            <w:tcW w:type="dxa" w:w="2448"/>
          </w:tcPr>
          <w:p>
            <w:r>
              <w:t>Dealing cadence per year</w:t>
            </w:r>
          </w:p>
        </w:tc>
        <w:tc>
          <w:tcPr>
            <w:tcW w:type="dxa" w:w="5760"/>
          </w:tcPr>
          <w:p>
            <w:r>
              <w:t>4</w:t>
            </w:r>
          </w:p>
        </w:tc>
        <w:tc>
          <w:tcPr>
            <w:tcW w:type="dxa" w:w="1152"/>
          </w:tcPr>
          <w:p>
            <w:r>
              <w:t>3.3</w:t>
            </w:r>
          </w:p>
        </w:tc>
      </w:tr>
      <w:tr>
        <w:tc>
          <w:tcPr>
            <w:tcW w:type="dxa" w:w="2448"/>
          </w:tcPr>
          <w:p>
            <w:r>
              <w:t>Repurchase cap</w:t>
            </w:r>
          </w:p>
        </w:tc>
        <w:tc>
          <w:tcPr>
            <w:tcW w:type="dxa" w:w="5760"/>
          </w:tcPr>
          <w:p>
            <w:r>
              <w:t>5% of outstanding shares</w:t>
            </w:r>
          </w:p>
        </w:tc>
        <w:tc>
          <w:tcPr>
            <w:tcW w:type="dxa" w:w="1152"/>
          </w:tcPr>
          <w:p>
            <w:r>
              <w:t>3.3</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$1.6B, liquidity tail 28.2% of accounts (12,176 separated participants with balances).</w:t>
      </w:r>
    </w:p>
    <w:p>
      <w:r>
        <w:t>Parameters (adjustable on the site, not facts): allocation 5% of plan = $79.3M, tail turnover 20%/yr, active turnover 5%/yr. Base demand $7.3M/yr = 9.2% of the position vs annual wrapper capacity 20%.</w:t>
      </w:r>
    </w:p>
    <w:p>
      <w:r>
        <w:t>Stressed (tail turnover x2, active turnover x1.5 vs base scenario): demand $13.2M/yr = 16.7% of the position. within wrapper capacity (16.7% vs 20%) IF offers are not prorated.</w:t>
      </w:r>
    </w:p>
    <w:p>
      <w:r>
        <w:t>Scenario verdict (ILLUSTRATIVE, this plan): CONDITIONAL.</w:t>
      </w:r>
    </w:p>
    <w:p>
      <w:pPr>
        <w:pStyle w:val="ListBullet"/>
      </w:pPr>
      <w:r>
        <w:t>Capacity: 4x per year at 5% of outstanding shares: at most 20% of the position per year. This is a FUND-level cap shared by every holder, so the plan's position is served only while offers are not oversubscribed.</w:t>
      </w:r>
    </w:p>
    <w:p>
      <w:pPr>
        <w:pStyle w:val="ListBullet"/>
      </w:pPr>
      <w:r>
        <w:t>Scenario demand (illustrative): 9.2%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plan_restaurant_hourly.json (Form 5500, plan year 2024-05-01 to 2025-04-30).</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0.70% on net assets</w:t>
            </w:r>
          </w:p>
        </w:tc>
        <w:tc>
          <w:tcPr>
            <w:tcW w:type="dxa" w:w="2880"/>
          </w:tcPr>
          <w:p>
            <w:r>
              <w:t>extracted-unverified</w:t>
            </w:r>
          </w:p>
        </w:tc>
      </w:tr>
      <w:tr>
        <w:tc>
          <w:tcPr>
            <w:tcW w:type="dxa" w:w="2880"/>
          </w:tcPr>
          <w:p>
            <w:r>
              <w:t>2.2 Incentive fee terms</w:t>
            </w:r>
          </w:p>
        </w:tc>
        <w:tc>
          <w:tcPr>
            <w:tcW w:type="dxa" w:w="3600"/>
          </w:tcPr>
          <w:p>
            <w:r>
              <w:t>incentive fee: none</w:t>
            </w:r>
          </w:p>
        </w:tc>
        <w:tc>
          <w:tcPr>
            <w:tcW w:type="dxa" w:w="2880"/>
          </w:tcPr>
          <w:p>
            <w:r>
              <w:t>extracted-unverified</w:t>
            </w:r>
          </w:p>
        </w:tc>
      </w:tr>
      <w:tr>
        <w:tc>
          <w:tcPr>
            <w:tcW w:type="dxa" w:w="2880"/>
          </w:tcPr>
          <w:p>
            <w:r>
              <w:t>2.3 Total expense ratio &amp; waivers</w:t>
            </w:r>
          </w:p>
        </w:tc>
        <w:tc>
          <w:tcPr>
            <w:tcW w:type="dxa" w:w="3600"/>
          </w:tcPr>
          <w:p>
            <w:r>
              <w:t>2.38% net expense ratio</w:t>
            </w:r>
          </w:p>
        </w:tc>
        <w:tc>
          <w:tcPr>
            <w:tcW w:type="dxa" w:w="2880"/>
          </w:tcPr>
          <w:p>
            <w:r>
              <w:t>extracted-unverified</w:t>
            </w:r>
          </w:p>
        </w:tc>
      </w:tr>
      <w:tr>
        <w:tc>
          <w:tcPr>
            <w:tcW w:type="dxa" w:w="2880"/>
          </w:tcPr>
          <w:p>
            <w:r>
              <w:t>2.4 AFFE</w:t>
            </w:r>
          </w:p>
        </w:tc>
        <w:tc>
          <w:tcPr>
            <w:tcW w:type="dxa" w:w="3600"/>
          </w:tcPr>
          <w:p>
            <w:r>
              <w:t>AFFE 0.81%</w:t>
            </w:r>
          </w:p>
        </w:tc>
        <w:tc>
          <w:tcPr>
            <w:tcW w:type="dxa" w:w="2880"/>
          </w:tcPr>
          <w:p>
            <w:r>
              <w:t>extracted-unverified</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Evergreen private equity ('40-Act funds + '34-Act conglomerate) (n=5). Evergreen PE (Pantheon) tender-offer LLC - wrapper and strategy twin of hl_paf/stepstone_spm.</w:t>
      </w:r>
    </w:p>
    <w:p>
      <w:r>
        <w:t>Cohort placement (evergreen_pe, R4 phrasing): mgmt fee: 10th percentile of cohort (n=5), below the median of 1.4 | expense ratio (bases differ, see notes): 30th percentile of cohort (n=5), below the median of 3.19 | repurchase cap: 50th percentile of cohort (n=5), at the median of 5. Stats and per-member values in data/cohorts/evergreen_pe.json, membership rationales in data/facts.</w:t>
      </w:r>
    </w:p>
    <w:p>
      <w:pPr>
        <w:pStyle w:val="ListBullet"/>
      </w:pPr>
      <w:r>
        <w:t>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kkr_kpec joins under the authorized fallback: its structural twins are Reg D vehicles with no public filings (data/roster_decisions.md - 'The kkr_kpec ruling'). Cross-wrapper caveats apply.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w:t>
      </w:r>
    </w:p>
    <w:p>
      <w:pPr>
        <w:pStyle w:val="Heading1"/>
      </w:pPr>
      <w:r>
        <w:t>Provenance</w:t>
      </w:r>
    </w:p>
    <w:p>
      <w:r>
        <w:t>Cell status for this product: structured 0, extracted-unverified 27, verified 0, computed 9, partial 3, fetched 1, n/a 14,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