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casual-dining restaurant group 401(k) plan (~$1.6B, FL)</w:t>
        <w:br/>
      </w:r>
      <w:r>
        <w:t>Product: ARK Venture Fund (TRUE interval fund (Rule 23c-3), venture/growth (ARKVX), CIK 1905088)</w:t>
        <w:br/>
      </w:r>
      <w:r>
        <w:t>Record as of 2026-09-04. DRAFT, generated by the build from the record. The decision memo for the same plan and product is a separate document.</w:t>
      </w:r>
    </w:p>
    <w:p>
      <w:pPr>
        <w:pStyle w:val="Heading1"/>
      </w:pPr>
      <w:r>
        <w:t>Summary</w:t>
      </w:r>
    </w:p>
    <w:p>
      <w:r>
        <w:t>Structural liquidity verdict: CONDITIONAL (typed facts, plan-independent). Scenario verdict under this plan (ILLUSTRATIVE, default sliders): CONDITIONAL.</w:t>
      </w:r>
    </w:p>
    <w:p>
      <w:r>
        <w:t>Benchmark: escalated. NO MEANINGFUL BENCHMARK CONSTRUCTIBLE from held data: no candidate passes the strategy gate at or above 7/12. spy 8/12 (rejected: strategy gate); psp_v 8/12 (rejected: strategy gate); peer_venture 2/12 (score 2/12 below primary threshold 7). Required next: a strategy-exact series (a venture index or a computable peer cohort of at least three NAV-priced members).</w:t>
      </w:r>
    </w:p>
    <w:p>
      <w:r>
        <w:t>Flags raised by the record (each restates a typed value or verdict, with its source):</w:t>
      </w:r>
    </w:p>
    <w:p>
      <w:pPr>
        <w:pStyle w:val="ListBullet"/>
      </w:pPr>
      <w:r>
        <w:t>Benchmark: NO MEANINGFUL BENCHMARK CONSTRUCTIBLE from held data: no candidate passes the strategy gate at or above 7/12. spy 8/12 (rejected: strategy gate); psp_v 8/12 (rejected: strategy gate); peer_venture 2/12 (score 2/12 below primary threshold 7). Required next: a strategy-exact series (a venture index or a computable peer cohort of at least three NAV-priced members). (benchmark selection)</w:t>
      </w:r>
    </w:p>
    <w:p>
      <w:r>
        <w:t>Evidence coverage: 42 of 42 resolvable, 0 verified, 12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Rubric v2, threshold 7 of 12, strategy gate. No candidate is eligible on held data.</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rejected</w:t>
            </w:r>
          </w:p>
        </w:tc>
        <w:tc>
          <w:tcPr>
            <w:tcW w:type="dxa" w:w="3456"/>
          </w:tcPr>
          <w:p>
            <w:r>
              <w:t>S&amp;P 500 investable proxy (SPY)</w:t>
            </w:r>
          </w:p>
        </w:tc>
        <w:tc>
          <w:tcPr>
            <w:tcW w:type="dxa" w:w="864"/>
          </w:tcPr>
          <w:p>
            <w:r>
              <w:t>8/12</w:t>
            </w:r>
          </w:p>
        </w:tc>
        <w:tc>
          <w:tcPr>
            <w:tcW w:type="dxa" w:w="3888"/>
          </w:tcPr>
          <w:p>
            <w:r>
              <w:t>rejected: strategy gate (score 8/12 but strategy_match 1/3)</w:t>
            </w:r>
          </w:p>
        </w:tc>
      </w:tr>
      <w:tr>
        <w:tc>
          <w:tcPr>
            <w:tcW w:type="dxa" w:w="1152"/>
          </w:tcPr>
          <w:p>
            <w:r>
              <w:t>rejected</w:t>
            </w:r>
          </w:p>
        </w:tc>
        <w:tc>
          <w:tcPr>
            <w:tcW w:type="dxa" w:w="3456"/>
          </w:tcPr>
          <w:p>
            <w:r>
              <w:t>Listed private equity investable proxy (PSP)</w:t>
            </w:r>
          </w:p>
        </w:tc>
        <w:tc>
          <w:tcPr>
            <w:tcW w:type="dxa" w:w="864"/>
          </w:tcPr>
          <w:p>
            <w:r>
              <w:t>8/12</w:t>
            </w:r>
          </w:p>
        </w:tc>
        <w:tc>
          <w:tcPr>
            <w:tcW w:type="dxa" w:w="3888"/>
          </w:tcPr>
          <w:p>
            <w:r>
              <w:t>rejected: strategy gate (score 8/12 but strategy_match 1/3)</w:t>
            </w:r>
          </w:p>
        </w:tc>
      </w:tr>
      <w:tr>
        <w:tc>
          <w:tcPr>
            <w:tcW w:type="dxa" w:w="1152"/>
          </w:tcPr>
          <w:p>
            <w:r>
              <w:t>rejected</w:t>
            </w:r>
          </w:p>
        </w:tc>
        <w:tc>
          <w:tcPr>
            <w:tcW w:type="dxa" w:w="3456"/>
          </w:tcPr>
          <w:p>
            <w:r>
              <w:t>Peer cohort composite: venture without arkvx (dxyz, ssss)</w:t>
            </w:r>
          </w:p>
        </w:tc>
        <w:tc>
          <w:tcPr>
            <w:tcW w:type="dxa" w:w="864"/>
          </w:tcPr>
          <w:p>
            <w:r>
              <w:t>2/12</w:t>
            </w:r>
          </w:p>
        </w:tc>
        <w:tc>
          <w:tcPr>
            <w:tcW w:type="dxa" w:w="3888"/>
          </w:tcPr>
          <w:p>
            <w:r>
              <w:t>score 2/12 below primary threshold 7</w:t>
            </w:r>
          </w:p>
        </w:tc>
      </w:tr>
    </w:tbl>
    <w:p>
      <w:pPr>
        <w:pStyle w:val="Heading1"/>
      </w:pPr>
      <w:r>
        <w:t>Exhibit B.</w:t>
      </w:r>
    </w:p>
    <w:p>
      <w:pPr>
        <w:pStyle w:val="Heading1"/>
      </w:pPr>
      <w:r>
        <w:t>Product-to-plan liquidity match</w:t>
      </w:r>
    </w:p>
    <w:p>
      <w:r>
        <w:t>Plan: US casual-dining restaurant group 401(k) plan (~$1.6B, FL).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4x/year. Direct DIA use requires a bridging structure: CIT sleeve, managed account, or TDF sleeve (cell 3.5).</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interval_23c3</w:t>
            </w:r>
          </w:p>
        </w:tc>
        <w:tc>
          <w:tcPr>
            <w:tcW w:type="dxa" w:w="1152"/>
          </w:tcPr>
          <w:p>
            <w:r>
              <w:t>6.1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outstanding shares</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2025-07-31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bl>
    <w:p>
      <w:pPr>
        <w:pStyle w:val="Heading2"/>
      </w:pPr>
      <w:r>
        <w:t>Scenario (ILLUSTRATIVE, this plan)</w:t>
      </w:r>
    </w:p>
    <w:p>
      <w:r>
        <w:t>Plan inputs (Form 5500): net assets $1.6B, liquidity tail 28.2% of accounts (12,176 separated participants with balances).</w:t>
      </w:r>
    </w:p>
    <w:p>
      <w:r>
        <w:t>Parameters (adjustable on the site, not facts): allocation 5% of plan = $79.3M, tail turnover 20%/yr, active turnover 5%/yr. Base demand $7.3M/yr = 9.2% of the position vs annual wrapper capacity 20%.</w:t>
      </w:r>
    </w:p>
    <w:p>
      <w:r>
        <w:t>Stressed (tail turnover x2, active turnover x1.5 vs base scenario): demand $13.2M/yr = 16.7% of the position. within wrapper capacity (16.7% vs 20%) IF offers are not prorated.</w:t>
      </w:r>
    </w:p>
    <w:p>
      <w:r>
        <w:t>Scenario verdict (ILLUSTRATIVE, this plan): CONDITIONAL.</w:t>
      </w:r>
    </w:p>
    <w:p>
      <w:pPr>
        <w:pStyle w:val="ListBullet"/>
      </w:pPr>
      <w:r>
        <w:t>Capacity: 4x per year at 5% of outstanding shares: at most 20% of the position per year. This is a FUND-level cap shared by every holder, so the plan's position is served only while offers are not oversubscribed.</w:t>
      </w:r>
    </w:p>
    <w:p>
      <w:pPr>
        <w:pStyle w:val="ListBullet"/>
      </w:pPr>
      <w:r>
        <w:t>Scenario demand (illustrative): 9.2%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plan_restaurant_hourly.json (Form 5500, plan year 2024-05-01 to 2025-04-30).</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2.75% on net assets</w:t>
            </w:r>
          </w:p>
        </w:tc>
        <w:tc>
          <w:tcPr>
            <w:tcW w:type="dxa" w:w="2880"/>
          </w:tcPr>
          <w:p>
            <w:r>
              <w:t>extracted-unverified</w:t>
            </w:r>
          </w:p>
        </w:tc>
      </w:tr>
      <w:tr>
        <w:tc>
          <w:tcPr>
            <w:tcW w:type="dxa" w:w="2880"/>
          </w:tcPr>
          <w:p>
            <w:r>
              <w:t>2.2 Incentive fee terms</w:t>
            </w:r>
          </w:p>
        </w:tc>
        <w:tc>
          <w:tcPr>
            <w:tcW w:type="dxa" w:w="3600"/>
          </w:tcPr>
          <w:p>
            <w:r>
              <w:t>incentive fee: none</w:t>
            </w:r>
          </w:p>
        </w:tc>
        <w:tc>
          <w:tcPr>
            <w:tcW w:type="dxa" w:w="2880"/>
          </w:tcPr>
          <w:p>
            <w:r>
              <w:t>extracted-unverified</w:t>
            </w:r>
          </w:p>
        </w:tc>
      </w:tr>
      <w:tr>
        <w:tc>
          <w:tcPr>
            <w:tcW w:type="dxa" w:w="2880"/>
          </w:tcPr>
          <w:p>
            <w:r>
              <w:t>2.3 Total expense ratio &amp; waivers</w:t>
            </w:r>
          </w:p>
        </w:tc>
        <w:tc>
          <w:tcPr>
            <w:tcW w:type="dxa" w:w="3600"/>
          </w:tcPr>
          <w:p>
            <w:r>
              <w:t>2.90% net expense ratio</w:t>
            </w:r>
          </w:p>
        </w:tc>
        <w:tc>
          <w:tcPr>
            <w:tcW w:type="dxa" w:w="2880"/>
          </w:tcPr>
          <w:p>
            <w:r>
              <w:t>extracted-unverified</w:t>
            </w:r>
          </w:p>
        </w:tc>
      </w:tr>
      <w:tr>
        <w:tc>
          <w:tcPr>
            <w:tcW w:type="dxa" w:w="2880"/>
          </w:tcPr>
          <w:p>
            <w:r>
              <w:t>2.4 AFFE</w:t>
            </w:r>
          </w:p>
        </w:tc>
        <w:tc>
          <w:tcPr>
            <w:tcW w:type="dxa" w:w="3600"/>
          </w:tcPr>
          <w:p>
            <w:r>
              <w:t>AFFE 0.01%</w:t>
            </w:r>
          </w:p>
        </w:tc>
        <w:tc>
          <w:tcPr>
            <w:tcW w:type="dxa" w:w="2880"/>
          </w:tcPr>
          <w:p>
            <w:r>
              <w:t>extracted-unverified</w:t>
            </w:r>
          </w:p>
        </w:tc>
      </w:tr>
      <w:tr>
        <w:tc>
          <w:tcPr>
            <w:tcW w:type="dxa" w:w="2880"/>
          </w:tcPr>
          <w:p>
            <w:r>
              <w:t>2.6 Loads &amp; servicing fees</w:t>
            </w:r>
          </w:p>
        </w:tc>
        <w:tc>
          <w:tcPr>
            <w:tcW w:type="dxa" w:w="3600"/>
          </w:tcPr>
          <w:p>
            <w:r>
              <w:t>extracted</w:t>
            </w:r>
          </w:p>
        </w:tc>
        <w:tc>
          <w:tcPr>
            <w:tcW w:type="dxa" w:w="2880"/>
          </w:tcPr>
          <w:p>
            <w:r>
              <w:t>extracted-unverified</w:t>
            </w:r>
          </w:p>
        </w:tc>
      </w:tr>
      <w:tr>
        <w:tc>
          <w:tcPr>
            <w:tcW w:type="dxa" w:w="2880"/>
          </w:tcPr>
          <w:p>
            <w:r>
              <w:t>2.7 Early repurchase fee</w:t>
            </w:r>
          </w:p>
        </w:tc>
        <w:tc>
          <w:tcPr>
            <w:tcW w:type="dxa" w:w="3600"/>
          </w:tcPr>
          <w:p>
            <w:r>
              <w:t>early repurchase fee: none</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Pre-IPO / venture growth (listed CEF + listed BDC + interval fund) (n=3). Interval fund holding venture/growth, the NAV-priced contrast to the two market-priced members. Pricing-basis mix is the cohort's disclosed core caveat (composite refused).</w:t>
      </w:r>
    </w:p>
    <w:p>
      <w:r>
        <w:t>Cohort placement (venture, R4 phrasing): mgmt fee: above the cohort median of 2.5 (n=3, too small for percentile language) | expense ratio (bases differ, see notes): below the cohort median of 4.53 (n=3, too small for percentile language) | repurchase cap: only member with this fact (n=1). Stats and per-member values in data/cohorts/venture.json, membership rationales in data/facts.</w:t>
      </w:r>
    </w:p>
    <w:p>
      <w:pPr>
        <w:pStyle w:val="ListBullet"/>
      </w:pPr>
      <w:r>
        <w:t>PRICING-BASIS MIX: some members transact at NAV, others at exchange market price. Return comparisons mix appraisal dynamics with premium/discount dynamics, so composites across this line are refused, not averaged. [typed per product: arkvx: NAV, dxyz: MARKET, ssss: MARKET]</w:t>
      </w:r>
    </w:p>
    <w:p>
      <w:pPr>
        <w:pStyle w:val="ListBullet"/>
      </w:pPr>
      <w:r>
        <w:t>LEVERAGE-REGIME MIX: BDC 150% coverage and non-1940-Act wrappers allow materially more leverage than 1940-Act funds. Fee bases and return volatility are not like-for-like. [typed per product: arkvx: 1940-Act asset-coverage limits, dxyz: 1940-Act asset-coverage limits, ssss: BDC 150% asset-coverage regime]</w:t>
      </w:r>
    </w:p>
    <w:p>
      <w:pPr>
        <w:pStyle w:val="ListBullet"/>
      </w:pPr>
      <w:r>
        <w:t>LIQUIDITY-LAW MIX: Rule 23c-3 obligations, discretionary tenders, and repurchase plans give different worst-case exit rights. Cadence numbers alone overstate comparability. [by wrapper type: arkvx: Rule 23c-3 OBLIGATION (board cannot skip a window), dxyz: continuous exchange dealing, ssss: continuous exchange dealing]</w:t>
      </w:r>
    </w:p>
    <w:p>
      <w:pPr>
        <w:pStyle w:val="ListBullet"/>
      </w:pPr>
      <w:r>
        <w:t>NAV-CADENCE MIX: daily, monthly, and quarterly NAV processes embed different appraisal smoothing. Volatility and drawdown comparisons inherit that difference (see de-smoothing lab). [typed per product: arkvx: daily, dxyz: quarterly, ssss: quarterly]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w:t>
      </w:r>
    </w:p>
    <w:p>
      <w:pPr>
        <w:pStyle w:val="Heading1"/>
      </w:pPr>
      <w:r>
        <w:t>Provenance</w:t>
      </w:r>
    </w:p>
    <w:p>
      <w:r>
        <w:t>Cell status for this product: structured 0, extracted-unverified 27, verified 0, computed 12, partial 2, fetched 1, n/a 12,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Sponsor name NEVER appears on demo surfaces. Data is public (DOL Form 5500 FOIA files); anonymization is a project display rule, not a legal requirement.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