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Blackstone Real Estate Income Trust Inc (non-traded REIT ('34 Act reporting), CIK 1662972)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0.91, Direct Alpha -3.22%/yr.</w:t>
            </w:r>
          </w:p>
          <w:p>
            <w:r>
              <w:t>1.1 Net total return series (extracted-unverified): FULL printed monthly NAV/share series, Class I, Jan 2023 - Dec 2025 (36 points) + Jun 2026 from the 10-Q - structured at data/series_monthly/breit_nav.csv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max NAV-path drawdown -7.93%.</w:t>
            </w:r>
          </w:p>
          <w:p>
            <w:r>
              <w:t>1.7 De-smoothed volatility (computed): De-smoothed (Geltner AR1) annualized NAV-path volatility: 4.12% vs 2.41% observed (rho 0.483).</w:t>
            </w:r>
          </w:p>
          <w:p>
            <w:r>
              <w:t>1.8 Risk-adjusted metrics (PME etc) (computed): KS-PME 0.9064 and Direct Alpha -3.22%/yr vs Listed REIT investable proxy (VNQ) over 2022-12-31 to 2025-12-31 (series comparison).</w:t>
            </w:r>
          </w:p>
          <w:p>
            <w:r>
              <w:t>1.9 Stress-window performance (computed): Stress observation from printed fiscal-year returns (data/series_annual/breit.csv).</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Not applicable: 1.3 no gross/net expense-ratio or financial-highlights disclosure exists for a '34-Act non-traded REIT, and no fee-waiver/expense-support arrangement is disclosed, so no gross-vs-net spread exists to extract. 1.10 not exchange-listed.</w:t>
            </w:r>
          </w:p>
        </w:tc>
      </w:tr>
      <w:tr>
        <w:tc>
          <w:tcPr>
            <w:tcW w:type="dxa" w:w="1728"/>
          </w:tcPr>
          <w:p>
            <w:r>
              <w:t>2. Fees (h)</w:t>
            </w:r>
          </w:p>
        </w:tc>
        <w:tc>
          <w:tcPr>
            <w:tcW w:type="dxa" w:w="7632"/>
          </w:tcPr>
          <w:p>
            <w:r>
              <w:t>Typed facts: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 AND a live miss: FY2024 total return did not exceed the hurdle, producing a $105.0M Quarterly Shortfall; from 1/1/2025 the 2024 Shortfall Obligation accrues 5% annual interest compounded quarterly.</w:t>
            </w:r>
          </w:p>
          <w:p>
            <w:r>
              <w:t>2.4 AFFE (extracted-unverified): Not applicable —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w:t>
            </w:r>
          </w:p>
          <w:p>
            <w:r>
              <w:t>2.9 Fee peer percentile (computed): Cohort placement (nontraded_reit, R4 phrasing):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 the 10-K acknowledges them only qualitatively, with no rates or ranges printed.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12x per year, 2% cap on aggregate NAV. 3.3 gating history: yes, prorated under stress. 3.9 verdict varies by plan: conditional, conditional-weak.</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CONDITIONAL-WEAK (typed facts, cells 3.1, 3.3, 2.7, plan-independent).</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 0.483 (n=35) - HEAVY smoothing (compare CCLFX rho 0.139).</w:t>
            </w:r>
          </w:p>
          <w:p>
            <w:r>
              <w:t>Not applicable: 4.7 not exchange-listed. 4.9 CIT only.</w:t>
            </w:r>
          </w:p>
        </w:tc>
      </w:tr>
      <w:tr>
        <w:tc>
          <w:tcPr>
            <w:tcW w:type="dxa" w:w="1728"/>
          </w:tcPr>
          <w:p>
            <w:r>
              <w:t>5. Performance Benchmarks (k)</w:t>
            </w:r>
          </w:p>
        </w:tc>
        <w:tc>
          <w:tcPr>
            <w:tcW w:type="dxa" w:w="7632"/>
          </w:tcPr>
          <w:p>
            <w:r>
              <w:t>Typed facts: 5.3 vnq selected, 9/12.</w:t>
            </w:r>
          </w:p>
          <w:p>
            <w:r>
              <w:t>5.1 Self-declared benchmark (extracted-unverified): ABSENCE DOCUMENTED: BREIT declares NO benchmark index anywhere in the FY2025 10-K.</w:t>
            </w:r>
          </w:p>
          <w:p>
            <w:r>
              <w:t>5.3 Alt asset-class indices (computed): Benchmark candidates evaluated by the engine (rubric v2, threshold 7 of 12, strategy gate below 2 of 3 ineligible).</w:t>
            </w:r>
          </w:p>
          <w:p>
            <w:r>
              <w:t>5.4 Peer universe &amp; returns (computed): Peer cohort nontraded_reit (n=3: breit, sreit, jll_ipt).</w:t>
            </w:r>
          </w:p>
          <w:p>
            <w:r>
              <w:t>5.5 PME / Direct Alpha inputs (computed): PME inputs (computed, primary comparison vs Listed REIT investable proxy (VNQ)): window 2022-12-31 to 2025-12-31 (series comparison).</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 searched 10-K 2026-02-27 and 10-Q 2026-08-07 for '1099'/'K-1'/'Schedule K': only XBRL context-id artifacts, no Form 1099 text.</w:t>
            </w:r>
          </w:p>
          <w:p>
            <w:r>
              <w:t>6.5 Service-provider web (partial): PARTIAL: names as printed in 10-K — Auditor: Deloitte &amp; Touche LLP, New York, New York (auditor since 2016; PCAOB ID No.</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REIT investable proxy (VNQ) (score 9/12)</w:t>
      </w:r>
    </w:p>
    <w:p>
      <w:r>
        <w:t>Window 2022-12-31 to 2025-12-31: fund 3.14%/yr vs benchmark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reits for core plus nontraded re)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w:t>
      </w:r>
    </w:p>
    <w:p>
      <w:pPr>
        <w:pStyle w:val="Heading2"/>
      </w:pPr>
      <w:r>
        <w:t>Secondary: NCREIF Fund Index - ODCE (private core RE) (score 7/12)</w:t>
      </w:r>
    </w:p>
    <w:p>
      <w:pPr>
        <w:pStyle w:val="ListBullet"/>
      </w:pPr>
      <w:r>
        <w:t>strategy_match 3/3: a private real estate index for a core plus nontraded re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cohort composite: nontraded_reit without breit (jll_ipt, sreit)</w:t>
            </w:r>
          </w:p>
        </w:tc>
        <w:tc>
          <w:tcPr>
            <w:tcW w:type="dxa" w:w="1152"/>
          </w:tcPr>
          <w:p>
            <w:r>
              <w:t>4/12</w:t>
            </w:r>
          </w:p>
        </w:tc>
        <w:tc>
          <w:tcPr>
            <w:tcW w:type="dxa" w:w="4752"/>
          </w:tcPr>
          <w:p>
            <w:r>
              <w:t>score 4/12 below primary threshold 7</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12x/year.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nontraded_reit</w:t>
            </w:r>
          </w:p>
        </w:tc>
        <w:tc>
          <w:tcPr>
            <w:tcW w:type="dxa" w:w="1152"/>
          </w:tcPr>
          <w:p>
            <w:r>
              <w:t>6.1</w:t>
            </w:r>
          </w:p>
        </w:tc>
      </w:tr>
      <w:tr>
        <w:tc>
          <w:tcPr>
            <w:tcW w:type="dxa" w:w="2448"/>
          </w:tcPr>
          <w:p>
            <w:r>
              <w:t>Dealing cadence per year</w:t>
            </w:r>
          </w:p>
        </w:tc>
        <w:tc>
          <w:tcPr>
            <w:tcW w:type="dxa" w:w="5760"/>
          </w:tcPr>
          <w:p>
            <w:r>
              <w:t>12</w:t>
            </w:r>
          </w:p>
        </w:tc>
        <w:tc>
          <w:tcPr>
            <w:tcW w:type="dxa" w:w="1152"/>
          </w:tcPr>
          <w:p>
            <w:r>
              <w:t>3.1</w:t>
            </w:r>
          </w:p>
        </w:tc>
      </w:tr>
      <w:tr>
        <w:tc>
          <w:tcPr>
            <w:tcW w:type="dxa" w:w="2448"/>
          </w:tcPr>
          <w:p>
            <w:r>
              <w:t>Repurchase cap</w:t>
            </w:r>
          </w:p>
        </w:tc>
        <w:tc>
          <w:tcPr>
            <w:tcW w:type="dxa" w:w="5760"/>
          </w:tcPr>
          <w:p>
            <w:r>
              <w:t>2% of aggregate nav</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24%.</w:t>
      </w:r>
    </w:p>
    <w:p>
      <w:r>
        <w:t>Stressed (tail turnover x2, active turnover x1.5 vs base scenario): demand $13.2M/yr = 16.7% of the position. within wrapper capacity (16.7% vs 24%) IF offers are not prorated, but this issuer HAS prorated under stress (3.3).</w:t>
      </w:r>
    </w:p>
    <w:p>
      <w:r>
        <w:t>Scenario verdict (ILLUSTRATIVE, this plan): CONDITIONAL.</w:t>
      </w:r>
    </w:p>
    <w:p>
      <w:pPr>
        <w:pStyle w:val="ListBullet"/>
      </w:pPr>
      <w:r>
        <w:t>Capacity: 12x per year at 2% of aggregate nav: at most 24% of the position per year. This is a FUND-level cap shared by every holder, so the plan's position is served only while offers are not oversubscribed.</w:t>
      </w:r>
    </w:p>
    <w:p>
      <w:pPr>
        <w:pStyle w:val="ListBullet"/>
      </w:pPr>
      <w:r>
        <w:t>Scenario demand (illustrative): 9.2% of the position per year vs 24%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Peer cohort placement</w:t>
      </w:r>
    </w:p>
    <w:p>
      <w:r>
        <w:t>Evidence depth tier: FULL. Cohort: Non-traded NAV REITs (n=3). Membership rationale: Non-traded monthly-NAV REIT with 2%/5% repurchase plan - the cohort's reference member.</w:t>
      </w:r>
    </w:p>
    <w:p>
      <w:r>
        <w:t>Cohort placement (nontraded_reit, R4 phrasing): mgmt fee: at the cohort median of 1.25 (n=3, too small for percentile language) | expense ratio (bases differ, see notes): fact unavailable for this member | repurchase cap: at the cohort median of 2 (n=3, too small for percentile language). Stats and per-member values in data/cohorts/nontraded_reit.json, membership rationales in data/facts.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US casual-dining restaurant group 401(k) plan (~$1.6B, FL) (ILLUSTRATIVE): CONDITIONAL.</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Liquidity: gating precedent, repurchases prorated under stress (cell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20, verified 0, computed 13, partial 8, fetched 1, n/a 12, pending 0. 42 of 42 resolvable, 0 verified, 12 n/a by wrapper.</w:t>
      </w:r>
    </w:p>
    <w:p>
      <w:r>
        <w:t>Of the 41 evidenced cells, 41 carry a source document, 41 a section, 28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(filed 2026-02-27) Item 5 'Offering of Common Stock' monthly NAV table; 10-Q Q2-2026 (filed 2026-08-07) NAV-by-class table</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1.2</w:t>
            </w:r>
          </w:p>
        </w:tc>
        <w:tc>
          <w:tcPr>
            <w:tcW w:type="dxa" w:w="3456"/>
          </w:tcPr>
          <w:p>
            <w:r>
              <w:t>Form 10-K FY2025 (filed 2026-02-27), Item 7 MD&amp;A - 2025 Highlights; Form 10-Q for quarter ended June 30, 2026 (filed 2026-08-07), MD&amp;A - Q2 2026 Highlights</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1.6</w:t>
            </w:r>
          </w:p>
        </w:tc>
        <w:tc>
          <w:tcPr>
            <w:tcW w:type="dxa" w:w="3456"/>
          </w:tcPr>
          <w:p>
            <w:r>
              <w:t>data/analytics/supplement.json (breit_monthly_diagnostics)</w:t>
            </w:r>
          </w:p>
        </w:tc>
        <w:tc>
          <w:tcPr>
            <w:tcW w:type="dxa" w:w="5184"/>
          </w:tcPr>
          <w:p>
            <w:r>
              <w:t>accession not on record: no filing reference in the source field</w:t>
            </w:r>
          </w:p>
        </w:tc>
      </w:tr>
      <w:tr>
        <w:tc>
          <w:tcPr>
            <w:tcW w:type="dxa" w:w="720"/>
          </w:tcPr>
          <w:p>
            <w:r>
              <w:t>1.7</w:t>
            </w:r>
          </w:p>
        </w:tc>
        <w:tc>
          <w:tcPr>
            <w:tcW w:type="dxa" w:w="3456"/>
          </w:tcPr>
          <w:p>
            <w:r>
              <w:t>data/analytics/supplement.json (breit_monthly_diagnostics)</w:t>
            </w:r>
          </w:p>
        </w:tc>
        <w:tc>
          <w:tcPr>
            <w:tcW w:type="dxa" w:w="5184"/>
          </w:tcPr>
          <w:p>
            <w:r>
              <w:t>accession not on record: no filing reference in the source field</w:t>
            </w:r>
          </w:p>
        </w:tc>
      </w:tr>
      <w:tr>
        <w:tc>
          <w:tcPr>
            <w:tcW w:type="dxa" w:w="720"/>
          </w:tcPr>
          <w:p>
            <w:r>
              <w:t>1.8</w:t>
            </w:r>
          </w:p>
        </w:tc>
        <w:tc>
          <w:tcPr>
            <w:tcW w:type="dxa" w:w="3456"/>
          </w:tcPr>
          <w:p>
            <w:r>
              <w:t>data/benchmarks/breit_selection.json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2.2</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2.6</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2.7</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2.9</w:t>
            </w:r>
          </w:p>
        </w:tc>
        <w:tc>
          <w:tcPr>
            <w:tcW w:type="dxa" w:w="3456"/>
          </w:tcPr>
          <w:p>
            <w:r>
              <w:t>data/cohorts/nontraded_reit.json</w:t>
            </w:r>
          </w:p>
        </w:tc>
        <w:tc>
          <w:tcPr>
            <w:tcW w:type="dxa" w:w="5184"/>
          </w:tcPr>
          <w:p>
            <w:r>
              <w:t>accession not on record: no filing reference in the source field</w:t>
            </w:r>
          </w:p>
        </w:tc>
      </w:tr>
      <w:tr>
        <w:tc>
          <w:tcPr>
            <w:tcW w:type="dxa" w:w="720"/>
          </w:tcPr>
          <w:p>
            <w:r>
              <w:t>3.1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3.3</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3.6</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data/liquidity/plan_consulting_alumni__breit_match.json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data/liquidity/plan_consulting_alumni__breit_match.json</w:t>
            </w:r>
          </w:p>
        </w:tc>
        <w:tc>
          <w:tcPr>
            <w:tcW w:type="dxa" w:w="5184"/>
          </w:tcPr>
          <w:p>
            <w:r>
              <w:t>accession not on record: no filing reference in the source field</w:t>
            </w:r>
          </w:p>
        </w:tc>
      </w:tr>
      <w:tr>
        <w:tc>
          <w:tcPr>
            <w:tcW w:type="dxa" w:w="720"/>
          </w:tcPr>
          <w:p>
            <w:r>
              <w:t>4.1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4.4</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4.5</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4.6</w:t>
            </w:r>
          </w:p>
        </w:tc>
        <w:tc>
          <w:tcPr>
            <w:tcW w:type="dxa" w:w="3456"/>
          </w:tcPr>
          <w:p>
            <w:r>
              <w:t>Form 10-K for fiscal year ended December 31, 2025, filed 2026-02-27 (and Form 10-Q for quarter ended June 30, 2026, filed 2026-08-07)</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4.8</w:t>
            </w:r>
          </w:p>
        </w:tc>
        <w:tc>
          <w:tcPr>
            <w:tcW w:type="dxa" w:w="3456"/>
          </w:tcPr>
          <w:p>
            <w:r>
              <w:t>data/analytics/supplement.json (breit_monthly_diagnostics)</w:t>
            </w:r>
          </w:p>
        </w:tc>
        <w:tc>
          <w:tcPr>
            <w:tcW w:type="dxa" w:w="5184"/>
          </w:tcPr>
          <w:p>
            <w:r>
              <w:t>accession not on record: no filing reference in the source field</w:t>
            </w:r>
          </w:p>
        </w:tc>
      </w:tr>
      <w:tr>
        <w:tc>
          <w:tcPr>
            <w:tcW w:type="dxa" w:w="720"/>
          </w:tcPr>
          <w:p>
            <w:r>
              <w:t>5.1</w:t>
            </w:r>
          </w:p>
        </w:tc>
        <w:tc>
          <w:tcPr>
            <w:tcW w:type="dxa" w:w="3456"/>
          </w:tcPr>
          <w:p>
            <w:r>
              <w:t>Form 10-K for fiscal year ended December 31, 2025, filed 2026-02-27 (searches for benchmark/NCREIF/MSCI/ODCE/FTSE Nareit run on stripped text 2026-08-09)</w:t>
            </w:r>
          </w:p>
        </w:tc>
        <w:tc>
          <w:tcPr>
            <w:tcW w:type="dxa" w:w="5184"/>
          </w:tcPr>
          <w:p>
            <w:r>
              <w:t>10-K 2026-02-27 accession 0001662972-26-000032 https://www.sec.gov/Archives/edgar/data/1662972/000166297226000032/breit-20251231.htm</w:t>
            </w:r>
          </w:p>
        </w:tc>
      </w:tr>
      <w:tr>
        <w:tc>
          <w:tcPr>
            <w:tcW w:type="dxa" w:w="720"/>
          </w:tcPr>
          <w:p>
            <w:r>
              <w:t>5.3</w:t>
            </w:r>
          </w:p>
        </w:tc>
        <w:tc>
          <w:tcPr>
            <w:tcW w:type="dxa" w:w="3456"/>
          </w:tcPr>
          <w:p>
            <w:r>
              <w:t>data/benchmarks/breit_selection.json</w:t>
            </w:r>
          </w:p>
        </w:tc>
        <w:tc>
          <w:tcPr>
            <w:tcW w:type="dxa" w:w="5184"/>
          </w:tcPr>
          <w:p>
            <w:r>
              <w:t>accession not on record: no filing reference in the source field</w:t>
            </w:r>
          </w:p>
        </w:tc>
      </w:tr>
      <w:tr>
        <w:tc>
          <w:tcPr>
            <w:tcW w:type="dxa" w:w="720"/>
          </w:tcPr>
          <w:p>
            <w:r>
              <w:t>5.4</w:t>
            </w:r>
          </w:p>
        </w:tc>
        <w:tc>
          <w:tcPr>
            <w:tcW w:type="dxa" w:w="3456"/>
          </w:tcPr>
          <w:p>
            <w:r>
              <w:t>data/cohorts/nontraded_reit.json</w:t>
            </w:r>
          </w:p>
        </w:tc>
        <w:tc>
          <w:tcPr>
            <w:tcW w:type="dxa" w:w="5184"/>
          </w:tcPr>
          <w:p>
            <w:r>
              <w:t>accession not on record: no filing reference in the source field</w:t>
            </w:r>
          </w:p>
        </w:tc>
      </w:tr>
      <w:tr>
        <w:tc>
          <w:tcPr>
            <w:tcW w:type="dxa" w:w="720"/>
          </w:tcPr>
          <w:p>
            <w:r>
              <w:t>5.5</w:t>
            </w:r>
          </w:p>
        </w:tc>
        <w:tc>
          <w:tcPr>
            <w:tcW w:type="dxa" w:w="3456"/>
          </w:tcPr>
          <w:p>
            <w:r>
              <w:t>data/benchmarks/breit_selection.json</w:t>
            </w:r>
          </w:p>
        </w:tc>
        <w:tc>
          <w:tcPr>
            <w:tcW w:type="dxa" w:w="5184"/>
          </w:tcPr>
          <w:p>
            <w:r>
              <w:t>accession not on record: no filing reference in the source field</w:t>
            </w:r>
          </w:p>
        </w:tc>
      </w:tr>
      <w:tr>
        <w:tc>
          <w:tcPr>
            <w:tcW w:type="dxa" w:w="720"/>
          </w:tcPr>
          <w:p>
            <w:r>
              <w:t>5.6</w:t>
            </w:r>
          </w:p>
        </w:tc>
        <w:tc>
          <w:tcPr>
            <w:tcW w:type="dxa" w:w="3456"/>
          </w:tcPr>
          <w:p>
            <w:r>
              <w:t>data/benchmarks/breit_selection.json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6.4</w:t>
            </w:r>
          </w:p>
        </w:tc>
        <w:tc>
          <w:tcPr>
            <w:tcW w:type="dxa" w:w="3456"/>
          </w:tcPr>
          <w:p>
            <w:r>
              <w:t>10-K 2026-02-27 (form not named in on-disk breit filings)</w:t>
            </w:r>
          </w:p>
        </w:tc>
        <w:tc>
          <w:tcPr>
            <w:tcW w:type="dxa" w:w="5184"/>
          </w:tcPr>
          <w:p>
            <w:r>
              <w:t>10-K 2026-02-27 accession 0001662972-26-000032 https://www.sec.gov/Archives/edgar/data/1662972/000166297226000032/breit-20251231.htm</w:t>
            </w:r>
          </w:p>
        </w:tc>
      </w:tr>
      <w:tr>
        <w:tc>
          <w:tcPr>
            <w:tcW w:type="dxa" w:w="720"/>
          </w:tcPr>
          <w:p>
            <w:r>
              <w:t>6.5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bl>
    <w:p>
      <w:r>
        <w:t>Data sources: SEC EDGAR filings (5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