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CION Ares Diversified Credit Fund (interval fund (Rule 23c-3, quarterly repurchases), CIK 1678124)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Direct Alpha -1.10%/yr. 1.11 inception 2017-01-26, 8.9 years.</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Geltner de-smoothed ann vol 6.57% vs raw 6.07% (lag-1 rho 0.075) on monthly points of the daily Class I NAV (CADUX, 2017-07-31 to 2026-08-24).</w:t>
            </w:r>
          </w:p>
          <w:p>
            <w:r>
              <w:t>1.8 Risk-adjusted metrics (PME etc) (computed): KS-PME 0.9461 and Direct Alpha -1.1%/yr vs Peer cohort composite: private_credit without cion_ares (bcred, cliffwater_cclfx, ocic, pflex) over FY2021 to FY2025 (composite comparison, 5 overlapping fiscal year(s) of 5 composite years).</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 ~8.9-year track record at FYE 2025.</w:t>
            </w:r>
          </w:p>
          <w:p>
            <w:r>
              <w:t>Not applicable: 1.10 unlisted).</w:t>
            </w:r>
          </w:p>
        </w:tc>
      </w:tr>
      <w:tr>
        <w:tc>
          <w:tcPr>
            <w:tcW w:type="dxa" w:w="1728"/>
          </w:tcPr>
          <w:p>
            <w:r>
              <w:t>2. Fees (h)</w:t>
            </w:r>
          </w:p>
        </w:tc>
        <w:tc>
          <w:tcPr>
            <w:tcW w:type="dxa" w:w="7632"/>
          </w:tcPr>
          <w:p>
            <w:r>
              <w:t>Typed facts: 2.1 1.25% on managed assets (leverage-inclusive). 2.2 incentive fee: 15% / 6% hurdle. 2.3 3.76% net expense ratio.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w:t>
            </w:r>
          </w:p>
          <w:p>
            <w:r>
              <w:t>2.3 Total expense ratio &amp; waivers (extracted-unverified): Prospectus fee table (as % of average net assets, assuming FY2025 actual average leverage of 50.63% of net assets) —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(private_credit, R4 phrasing):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c>
          <w:tcPr>
            <w:tcW w:type="dxa" w:w="1728"/>
          </w:tcPr>
          <w:p>
            <w:r>
              <w:t>3. Liquidity (i)</w:t>
            </w:r>
          </w:p>
        </w:tc>
        <w:tc>
          <w:tcPr>
            <w:tcW w:type="dxa" w:w="7632"/>
          </w:tcPr>
          <w:p>
            <w:r>
              <w:t>Typed facts: 3.1 4x per year, 5% cap on outstanding shares. 3.3 no gating identified in the filings on record. 3.6 $5.2B net assets. 3.9 verdict varies by plan: conditional, conditional-weak.</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documented-unavailable. 3.7 plan-side workflow.</w:t>
            </w:r>
          </w:p>
        </w:tc>
      </w:tr>
      <w:tr>
        <w:tc>
          <w:tcPr>
            <w:tcW w:type="dxa" w:w="1728"/>
          </w:tcPr>
          <w:p>
            <w:r>
              <w:t>4. Valuation (j)</w:t>
            </w:r>
          </w:p>
        </w:tc>
        <w:tc>
          <w:tcPr>
            <w:tcW w:type="dxa" w:w="7632"/>
          </w:tcPr>
          <w:p>
            <w:r>
              <w:t>Typed facts: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IS_NAV_ERROR_CORRECTED=N.</w:t>
            </w:r>
          </w:p>
          <w:p>
            <w:r>
              <w:t>4.8 Smoothing diagnostics (computed): SMOOTHING DIAGNOSTICS (computed from daily Class I NAV): monthly lag-1 autocorr 0.075; raw ann vol 6.07% vs de-smoothed 6.57%; max drawdown on monthly NAV path -15.48%.</w:t>
            </w:r>
          </w:p>
          <w:p>
            <w:r>
              <w:t>Not applicable: 4.7 documented-unavailable. 4.9 documented-unavailable.</w:t>
            </w:r>
          </w:p>
        </w:tc>
      </w:tr>
      <w:tr>
        <w:tc>
          <w:tcPr>
            <w:tcW w:type="dxa" w:w="1728"/>
          </w:tcPr>
          <w:p>
            <w:r>
              <w:t>5. Performance Benchmarks (k)</w:t>
            </w:r>
          </w:p>
        </w:tc>
        <w:tc>
          <w:tcPr>
            <w:tcW w:type="dxa" w:w="7632"/>
          </w:tcPr>
          <w:p>
            <w:r>
              <w:t>Typed facts: 5.3 peer_credit selected, 9/12.</w:t>
            </w:r>
          </w:p>
          <w:p>
            <w:r>
              <w:t>5.1 Self-declared benchmark (extracted-unverified): Self-declared broad-based benchmark: Credit Suisse Leveraged Loan Index (CSLLI) —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Benchmark candidates evaluated by the engine (rubric v2, threshold 7 of 12, strategy gate below 2 of 3 ineligible).</w:t>
            </w:r>
          </w:p>
          <w:p>
            <w:r>
              <w:t>5.4 Peer universe &amp; returns (computed): Peer cohort private_credit (n=5: cliffwater_cclfx, bcred, pflex, cion_ares, ocic).</w:t>
            </w:r>
          </w:p>
          <w:p>
            <w:r>
              <w:t>5.5 PME / Direct Alpha inputs (computed): PME inputs (computed, primary comparison vs Peer cohort composite: private_credit without cion_ares (bcred, cliffwater_cclfx, ocic, pflex)): window FY2021 to FY2025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1"/>
      </w:pPr>
      <w:r>
        <w:t>Benchmark selection and justification</w:t>
      </w:r>
    </w:p>
    <w:p>
      <w:pPr>
        <w:pStyle w:val="Heading2"/>
      </w:pPr>
      <w:r>
        <w:t>Primary: Peer cohort composite: private_credit without cion_ares (bcred, cliffwater_cclfx, ocic, pflex) (score 9/12)</w:t>
      </w:r>
    </w:p>
    <w:p>
      <w:r>
        <w:t>Window FY2021 to FY2025 (5 overlapping fiscal year(s) of 5 composite years): fund 7.63%/yr vs benchmark 8.83%/yr, KS-PME 0.9461, Direct Alpha -1.1%/yr.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same asset class, different sub-strategy (direct lending vs diversified credit)</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Senior loan investable proxy (BKLN, for Morningstar LSTA class) (score 9/12)</w:t>
      </w:r>
    </w:p>
    <w:p>
      <w:r>
        <w:t>Window 2018-07-18 to 2026-07-17 (clipped: proxy series begins 2018-07-18, proxy series ends 2026-07-17): fund 6.08%/yr vs benchmark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ListBullet"/>
      </w:pPr>
      <w:r>
        <w:t>strategy_match 2/3: the public-market version of the asset class (syndicated loans for diversified credit)</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6/12</w:t>
            </w:r>
          </w:p>
        </w:tc>
        <w:tc>
          <w:tcPr>
            <w:tcW w:type="dxa" w:w="4752"/>
          </w:tcPr>
          <w:p>
            <w:r>
              <w:t>score 6/12 below primary threshold 7</w:t>
            </w:r>
          </w:p>
        </w:tc>
      </w:tr>
      <w:tr>
        <w:tc>
          <w:tcPr>
            <w:tcW w:type="dxa" w:w="3456"/>
          </w:tcPr>
          <w:p>
            <w:r>
              <w:t>Credit Suisse Leveraged Loan Index (CSLLI)</w:t>
            </w:r>
          </w:p>
        </w:tc>
        <w:tc>
          <w:tcPr>
            <w:tcW w:type="dxa" w:w="1152"/>
          </w:tcPr>
          <w:p>
            <w:r>
              <w:t>5/12</w:t>
            </w:r>
          </w:p>
        </w:tc>
        <w:tc>
          <w:tcPr>
            <w:tcW w:type="dxa" w:w="4752"/>
          </w:tcPr>
          <w:p>
            <w:r>
              <w:t>score 5/12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(private_credit, R4 phrasing): mgmt fee: 50th percentile of cohort (n=5), at the median of 1.25 | expense ratio (bases differ, see notes): 50th percentile of cohort (n=5), at the median of 3.76 | repurchase cap: 50th percentile of cohort (n=5), at the median of 5. Stats and per-member values in data/cohorts/private_credit.json, membership rationales in data/facts.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Peer cohort composite: private_credit without cion_ares (bcred, cliffwater_cclfx, ocic, pflex) selected as primary at 9/12, secondary Senior loan investable proxy (BKLN, for Morningstar LSTA class)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1, extracted-unverified 22, verified 0, computed 10, partial 11, fetched 0, n/a 10, pending 0. 44 of 44 resolvable, 0 verified, 10 n/a by wrapper.</w:t>
      </w:r>
    </w:p>
    <w:p>
      <w:r>
        <w:t>Of the 44 evidenced cells, 44 carry a source document, 44 a section, 34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filed 2026-03-06 (FYE 2025-12-31) and N-23C3A filed 2026-06-05, CIK 1678124</w:t>
            </w:r>
          </w:p>
        </w:tc>
        <w:tc>
          <w:tcPr>
            <w:tcW w:type="dxa" w:w="5184"/>
          </w:tcPr>
          <w:p>
            <w:r>
              <w:t>N-CSR 2026-03-06 accession 0001104659-26-024607 https://www.sec.gov/Archives/edgar/data/1678124/000110465926024607/tm261643d1_ncsr.htm</w:t>
            </w:r>
          </w:p>
          <w:p>
            <w:r>
              <w:t>N-23C3A 2026-06-05 accession 0001104659-26-070762 https://www.sec.gov/Archives/edgar/data/1678124/000110465926070762/tm2616799d1_n23c3a.htm</w:t>
            </w:r>
          </w:p>
        </w:tc>
      </w:tr>
      <w:tr>
        <w:tc>
          <w:tcPr>
            <w:tcW w:type="dxa" w:w="720"/>
          </w:tcPr>
          <w:p>
            <w:r>
              <w:t>1.2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1.6</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1.7</w:t>
            </w:r>
          </w:p>
        </w:tc>
        <w:tc>
          <w:tcPr>
            <w:tcW w:type="dxa" w:w="3456"/>
          </w:tcPr>
          <w:p>
            <w:r>
              <w:t>data/series/cadux.csv (monthly resample)</w:t>
            </w:r>
          </w:p>
        </w:tc>
        <w:tc>
          <w:tcPr>
            <w:tcW w:type="dxa" w:w="5184"/>
          </w:tcPr>
          <w:p>
            <w:r>
              <w:t>accession not on record: no filing reference in the source field</w:t>
            </w:r>
          </w:p>
        </w:tc>
      </w:tr>
      <w:tr>
        <w:tc>
          <w:tcPr>
            <w:tcW w:type="dxa" w:w="720"/>
          </w:tcPr>
          <w:p>
            <w:r>
              <w:t>1.8</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1.9</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2.1</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2.2</w:t>
            </w:r>
          </w:p>
        </w:tc>
        <w:tc>
          <w:tcPr>
            <w:tcW w:type="dxa" w:w="3456"/>
          </w:tcPr>
          <w:p>
            <w:r>
              <w:t>N-CSR filed 2026-03-06 (Note 3) and 486BPOS filed 2026-04-29 (fee table fn. 5),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2.3</w:t>
            </w:r>
          </w:p>
        </w:tc>
        <w:tc>
          <w:tcPr>
            <w:tcW w:type="dxa" w:w="3456"/>
          </w:tcPr>
          <w:p>
            <w:r>
              <w:t>486BPOS filed 2026-04-29 (Summary of Fees and Expenses, all classes) and N-CSR filed 2026-03-06 (Note 3; Financial Highlights),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2.6</w:t>
            </w:r>
          </w:p>
        </w:tc>
        <w:tc>
          <w:tcPr>
            <w:tcW w:type="dxa" w:w="3456"/>
          </w:tcPr>
          <w:p>
            <w:r>
              <w:t>486BPOS filed 2026-04-29 (fee tables and Plan of Distribution) and N-CSR filed 2026-03-06 (Note 3 Distribution Plan),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2.7</w:t>
            </w:r>
          </w:p>
        </w:tc>
        <w:tc>
          <w:tcPr>
            <w:tcW w:type="dxa" w:w="3456"/>
          </w:tcPr>
          <w:p>
            <w:r>
              <w:t>N-23C3A filed 2026-06-05, CIK 1678124</w:t>
            </w:r>
          </w:p>
        </w:tc>
        <w:tc>
          <w:tcPr>
            <w:tcW w:type="dxa" w:w="5184"/>
          </w:tcPr>
          <w:p>
            <w:r>
              <w:t>N-23C3A 2026-06-05 accession 0001104659-26-070762 https://www.sec.gov/Archives/edgar/data/1678124/000110465926070762/tm2616799d1_n23c3a.htm</w:t>
            </w:r>
          </w:p>
        </w:tc>
      </w:tr>
      <w:tr>
        <w:tc>
          <w:tcPr>
            <w:tcW w:type="dxa" w:w="720"/>
          </w:tcPr>
          <w:p>
            <w:r>
              <w:t>2.9</w:t>
            </w:r>
          </w:p>
        </w:tc>
        <w:tc>
          <w:tcPr>
            <w:tcW w:type="dxa" w:w="3456"/>
          </w:tcPr>
          <w:p>
            <w:r>
              <w:t>data/cohorts/private_credit.json</w:t>
            </w:r>
          </w:p>
        </w:tc>
        <w:tc>
          <w:tcPr>
            <w:tcW w:type="dxa" w:w="5184"/>
          </w:tcPr>
          <w:p>
            <w:r>
              <w:t>accession not on record: no filing reference in the source field</w:t>
            </w:r>
          </w:p>
        </w:tc>
      </w:tr>
      <w:tr>
        <w:tc>
          <w:tcPr>
            <w:tcW w:type="dxa" w:w="720"/>
          </w:tcPr>
          <w:p>
            <w:r>
              <w:t>2.10</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3.2</w:t>
            </w:r>
          </w:p>
        </w:tc>
        <w:tc>
          <w:tcPr>
            <w:tcW w:type="dxa" w:w="3456"/>
          </w:tcPr>
          <w:p>
            <w:r>
              <w:t>486BPOS filed 2026-04-29 (Share Repurchase Program) and N-23C3A filed 2026-06-05, CIK 1678124</w:t>
            </w:r>
          </w:p>
        </w:tc>
        <w:tc>
          <w:tcPr>
            <w:tcW w:type="dxa" w:w="5184"/>
          </w:tcPr>
          <w:p>
            <w:r>
              <w:t>486BPOS 2026-04-29 accession 0001104659-26-051754 https://www.sec.gov/Archives/edgar/data/1678124/000110465926051754/tm2611264d1_486bpos.htm</w:t>
            </w:r>
          </w:p>
          <w:p>
            <w:r>
              <w:t>N-23C3A 2026-06-05 accession 0001104659-26-070762 https://www.sec.gov/Archives/edgar/data/1678124/000110465926070762/tm2616799d1_n23c3a.htm</w:t>
            </w:r>
          </w:p>
        </w:tc>
      </w:tr>
      <w:tr>
        <w:tc>
          <w:tcPr>
            <w:tcW w:type="dxa" w:w="720"/>
          </w:tcPr>
          <w:p>
            <w:r>
              <w:t>3.3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3.6</w:t>
            </w:r>
          </w:p>
        </w:tc>
        <w:tc>
          <w:tcPr>
            <w:tcW w:type="dxa" w:w="3456"/>
          </w:tcPr>
          <w:p>
            <w:r>
              <w:t>N-CSR filed 2026-03-06 (Notes 6-7) and 486BPOS filed 2026-04-29 (Use of Leverage; MRP Shares),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3.8</w:t>
            </w:r>
          </w:p>
        </w:tc>
        <w:tc>
          <w:tcPr>
            <w:tcW w:type="dxa" w:w="3456"/>
          </w:tcPr>
          <w:p>
            <w:r>
              <w:t>data/liquidity/plan_consulting_alumni__cion_ares_match.json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data/liquidity/plan_consulting_alumni__cion_ares_match.json</w:t>
            </w:r>
          </w:p>
        </w:tc>
        <w:tc>
          <w:tcPr>
            <w:tcW w:type="dxa" w:w="5184"/>
          </w:tcPr>
          <w:p>
            <w:r>
              <w:t>accession not on record: no filing reference in the source field</w:t>
            </w:r>
          </w:p>
        </w:tc>
      </w:tr>
      <w:tr>
        <w:tc>
          <w:tcPr>
            <w:tcW w:type="dxa" w:w="720"/>
          </w:tcPr>
          <w:p>
            <w:r>
              <w:t>4.1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4.2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4.6</w:t>
            </w:r>
          </w:p>
        </w:tc>
        <w:tc>
          <w:tcPr>
            <w:tcW w:type="dxa" w:w="3456"/>
          </w:tcPr>
          <w:p>
            <w:r>
              <w:t>N-CEN 0001049169-26-000801 (structured dataset)</w:t>
            </w:r>
          </w:p>
        </w:tc>
        <w:tc>
          <w:tcPr>
            <w:tcW w:type="dxa" w:w="5184"/>
          </w:tcPr>
          <w:p>
            <w:r>
              <w:t>N-CEN accession 0001049169-26-000801 https://www.sec.gov/Archives/edgar/data/1678124/000104916926000801/ (accession written in the citation, EDGAR folder URL)</w:t>
            </w:r>
          </w:p>
        </w:tc>
      </w:tr>
      <w:tr>
        <w:tc>
          <w:tcPr>
            <w:tcW w:type="dxa" w:w="720"/>
          </w:tcPr>
          <w:p>
            <w:r>
              <w:t>4.8</w:t>
            </w:r>
          </w:p>
        </w:tc>
        <w:tc>
          <w:tcPr>
            <w:tcW w:type="dxa" w:w="3456"/>
          </w:tcPr>
          <w:p>
            <w:r>
              <w:t>data/series/cadux.csv (monthly resample)</w:t>
            </w:r>
          </w:p>
        </w:tc>
        <w:tc>
          <w:tcPr>
            <w:tcW w:type="dxa" w:w="5184"/>
          </w:tcPr>
          <w:p>
            <w:r>
              <w:t>accession not on record: no filing reference in the source field</w:t>
            </w:r>
          </w:p>
        </w:tc>
      </w:tr>
      <w:tr>
        <w:tc>
          <w:tcPr>
            <w:tcW w:type="dxa" w:w="720"/>
          </w:tcPr>
          <w:p>
            <w:r>
              <w:t>5.1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5.3</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5.4</w:t>
            </w:r>
          </w:p>
        </w:tc>
        <w:tc>
          <w:tcPr>
            <w:tcW w:type="dxa" w:w="3456"/>
          </w:tcPr>
          <w:p>
            <w:r>
              <w:t>data/cohorts/private_credit.json</w:t>
            </w:r>
          </w:p>
        </w:tc>
        <w:tc>
          <w:tcPr>
            <w:tcW w:type="dxa" w:w="5184"/>
          </w:tcPr>
          <w:p>
            <w:r>
              <w:t>accession not on record: no filing reference in the source field</w:t>
            </w:r>
          </w:p>
        </w:tc>
      </w:tr>
      <w:tr>
        <w:tc>
          <w:tcPr>
            <w:tcW w:type="dxa" w:w="720"/>
          </w:tcPr>
          <w:p>
            <w:r>
              <w:t>5.5</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5.6</w:t>
            </w:r>
          </w:p>
        </w:tc>
        <w:tc>
          <w:tcPr>
            <w:tcW w:type="dxa" w:w="3456"/>
          </w:tcPr>
          <w:p>
            <w:r>
              <w:t>data/benchmarks/cion_ares_selection.json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filed 2026-03-06 (Note 1, Note 6)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6.2</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6.3</w:t>
            </w:r>
          </w:p>
        </w:tc>
        <w:tc>
          <w:tcPr>
            <w:tcW w:type="dxa" w:w="3456"/>
          </w:tcPr>
          <w:p>
            <w:r>
              <w:t>N-CSR filed 2026-03-06 (Note 3; Letter) and 486BPOS filed 2026-04-29 (Conflicts of Interest),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6.4</w:t>
            </w:r>
          </w:p>
        </w:tc>
        <w:tc>
          <w:tcPr>
            <w:tcW w:type="dxa" w:w="3456"/>
          </w:tcPr>
          <w:p>
            <w:r>
              <w:t>486BPOS filed 2026-04-29 and N-CSR filed 2026-03-06 (Note 2, Note 10),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6.5</w:t>
            </w:r>
          </w:p>
        </w:tc>
        <w:tc>
          <w:tcPr>
            <w:tcW w:type="dxa" w:w="3456"/>
          </w:tcPr>
          <w:p>
            <w:r>
              <w:t>N-CSR filed 2026-03-06 (Note 3; Corporate Information)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6.7</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