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Cliffwater Corporate Lending Fund (TRUE interval fund (Rule 23c-3), private credit, CIK 1735964)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Peer cohort composite: private_credit without cliffwater_cclfx (bcred, cion_ares, ocic, pflex) at 10/12, KS-PME 0.9756, Direct Alpha -0.61%/yr over FY2021 to FY2025.</w:t>
      </w:r>
    </w:p>
    <w:p>
      <w:r>
        <w:t>Flags raised by the record (each restates a typed value or verdict, with its source):</w:t>
      </w:r>
    </w:p>
    <w:p>
      <w:pPr>
        <w:pStyle w:val="ListBullet"/>
      </w:pPr>
      <w:r>
        <w:t>Liquidity: structural verdict partial, facts missing: gate_history (cells 3.1, 3.3)</w:t>
      </w:r>
    </w:p>
    <w:p>
      <w:r>
        <w:t>Evidence coverage: 44 of 44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cliffwater_cclfx (bcred, cion_ares, ocic, pflex)</w:t>
            </w:r>
          </w:p>
        </w:tc>
        <w:tc>
          <w:tcPr>
            <w:tcW w:type="dxa" w:w="864"/>
          </w:tcPr>
          <w:p>
            <w:r>
              <w:t>10/12</w:t>
            </w:r>
          </w:p>
        </w:tc>
        <w:tc>
          <w:tcPr>
            <w:tcW w:type="dxa" w:w="3888"/>
          </w:tcPr>
          <w:p>
            <w:r>
              <w:t>KS-PME 0.9756, Direct Alpha -0.61%/yr,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1.2532, Direct Alpha 3.22%/yr, 2019-06-05 to 2026-07-17</w:t>
            </w:r>
          </w:p>
        </w:tc>
      </w:tr>
      <w:tr>
        <w:tc>
          <w:tcPr>
            <w:tcW w:type="dxa" w:w="1152"/>
          </w:tcPr>
          <w:p>
            <w:r>
              <w:t>rejected</w:t>
            </w:r>
          </w:p>
        </w:tc>
        <w:tc>
          <w:tcPr>
            <w:tcW w:type="dxa" w:w="3456"/>
          </w:tcPr>
          <w:p>
            <w:r>
              <w:t>Cliffwater Direct Lending Index (CDLI)</w:t>
            </w:r>
          </w:p>
        </w:tc>
        <w:tc>
          <w:tcPr>
            <w:tcW w:type="dxa" w:w="864"/>
          </w:tcPr>
          <w:p>
            <w:r>
              <w:t>5/12</w:t>
            </w:r>
          </w:p>
        </w:tc>
        <w:tc>
          <w:tcPr>
            <w:tcW w:type="dxa" w:w="3888"/>
          </w:tcPr>
          <w:p>
            <w:r>
              <w:t>score 5/12 below primary threshold 7</w:t>
            </w:r>
          </w:p>
        </w:tc>
      </w:tr>
    </w:tbl>
    <w:p>
      <w:pPr>
        <w:pStyle w:val="Heading1"/>
      </w:pPr>
      <w:r>
        <w:t>Exhibit B.</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1.00% on net assets</w:t>
            </w:r>
          </w:p>
        </w:tc>
        <w:tc>
          <w:tcPr>
            <w:tcW w:type="dxa" w:w="2880"/>
          </w:tcPr>
          <w:p>
            <w:r>
              <w:t>extracted-unverified</w:t>
            </w:r>
          </w:p>
        </w:tc>
      </w:tr>
      <w:tr>
        <w:tc>
          <w:tcPr>
            <w:tcW w:type="dxa" w:w="2880"/>
          </w:tcPr>
          <w:p>
            <w:r>
              <w:t>2.2 Incentive fee terms</w:t>
            </w:r>
          </w:p>
        </w:tc>
        <w:tc>
          <w:tcPr>
            <w:tcW w:type="dxa" w:w="3600"/>
          </w:tcPr>
          <w:p>
            <w:r>
              <w:t>partial</w:t>
            </w:r>
          </w:p>
        </w:tc>
        <w:tc>
          <w:tcPr>
            <w:tcW w:type="dxa" w:w="2880"/>
          </w:tcPr>
          <w:p>
            <w:r>
              <w:t>partial</w:t>
            </w:r>
          </w:p>
        </w:tc>
      </w:tr>
      <w:tr>
        <w:tc>
          <w:tcPr>
            <w:tcW w:type="dxa" w:w="2880"/>
          </w:tcPr>
          <w:p>
            <w:r>
              <w:t>2.3 Total expense ratio &amp; waivers</w:t>
            </w:r>
          </w:p>
        </w:tc>
        <w:tc>
          <w:tcPr>
            <w:tcW w:type="dxa" w:w="3600"/>
          </w:tcPr>
          <w:p>
            <w:r>
              <w:t>1.36% net expense ratio</w:t>
            </w:r>
          </w:p>
        </w:tc>
        <w:tc>
          <w:tcPr>
            <w:tcW w:type="dxa" w:w="2880"/>
          </w:tcPr>
          <w:p>
            <w:r>
              <w:t>extracted-unverified</w:t>
            </w:r>
          </w:p>
        </w:tc>
      </w:tr>
      <w:tr>
        <w:tc>
          <w:tcPr>
            <w:tcW w:type="dxa" w:w="2880"/>
          </w:tcPr>
          <w:p>
            <w:r>
              <w:t>2.4 AFFE</w:t>
            </w:r>
          </w:p>
        </w:tc>
        <w:tc>
          <w:tcPr>
            <w:tcW w:type="dxa" w:w="3600"/>
          </w:tcPr>
          <w:p>
            <w:r>
              <w:t>AFFE 0.25%</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partial</w:t>
            </w:r>
          </w:p>
        </w:tc>
        <w:tc>
          <w:tcPr>
            <w:tcW w:type="dxa" w:w="2880"/>
          </w:tcPr>
          <w:p>
            <w:r>
              <w:t>partial</w:t>
            </w:r>
          </w:p>
        </w:tc>
      </w:tr>
    </w:tbl>
    <w:p>
      <w:pPr>
        <w:pStyle w:val="Heading1"/>
      </w:pPr>
      <w:r>
        <w:t>Exhibit D. Peer cohort placement</w:t>
      </w:r>
    </w:p>
    <w:p>
      <w:r>
        <w:t>Cohort Private credit (interval fund + non-traded BDC) (n=5). Direct corporate lending in a Rule 23c-3 interval wrapper, the cohort's reference member. Daily NAV, quarterly obligated liquidity.</w:t>
      </w:r>
    </w:p>
    <w:p>
      <w:r>
        <w:t>Cohort placement (private_credit, R4 phrasing): mgmt fee: 10th percentile of cohort (n=5), below the median of 1.25 | expense ratio (bases differ, see notes): 10th percentile of cohort (n=5), below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23, verified 0, computed 12, partial 7, fetched 2,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