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Hamilton Lane Private Assets Fund (tender-offer fund ('40 Act); NOT an interval fund, CIK 1803491)</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Benchmark: Peer cohort composite: evergreen_pe without hl_paf (amg_pantheon, ares_pmf, kkr_kpec, stepstone_spm) at 10/12, KS-PME 1.0693, Direct Alpha 1.35%/yr over FY2022 to FY2026.</w:t>
      </w:r>
    </w:p>
    <w:p>
      <w:r>
        <w:t>Flags raised by the record (each restates a typed value or verdict, with its source):</w:t>
      </w:r>
    </w:p>
    <w:p>
      <w:pPr>
        <w:pStyle w:val="ListBullet"/>
      </w:pPr>
      <w:r>
        <w:t>Liquidity: structural verdict partial, facts missing: gate_history (cells 3.1, 3.3)</w:t>
      </w:r>
    </w:p>
    <w:p>
      <w:r>
        <w:t>Evidence coverage: 41 of 41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evergreen_pe without hl_paf (amg_pantheon, ares_pmf, kkr_kpec, stepstone_spm)</w:t>
            </w:r>
          </w:p>
        </w:tc>
        <w:tc>
          <w:tcPr>
            <w:tcW w:type="dxa" w:w="864"/>
          </w:tcPr>
          <w:p>
            <w:r>
              <w:t>10/12</w:t>
            </w:r>
          </w:p>
        </w:tc>
        <w:tc>
          <w:tcPr>
            <w:tcW w:type="dxa" w:w="3888"/>
          </w:tcPr>
          <w:p>
            <w:r>
              <w:t>KS-PME 1.0693, Direct Alpha 1.35%/yr, FY2022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1.9565, Direct Alpha 14.37%/yr, 2021-03-31 to 2026-03-31</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S&amp;P 500 investable proxy (SPY)</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10/12 and secondary 9/12 (only two slots). Retained in log as viable alternate</w:t>
            </w:r>
          </w:p>
        </w:tc>
      </w:tr>
    </w:tbl>
    <w:p>
      <w:pPr>
        <w:pStyle w:val="Heading1"/>
      </w:pPr>
      <w:r>
        <w:t>Exhibit B.</w:t>
      </w:r>
    </w:p>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3.1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net assets</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net assets: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10%</w:t>
            </w:r>
          </w:p>
        </w:tc>
        <w:tc>
          <w:tcPr>
            <w:tcW w:type="dxa" w:w="2880"/>
          </w:tcPr>
          <w:p>
            <w:r>
              <w:t>extracted-unverified</w:t>
            </w:r>
          </w:p>
        </w:tc>
      </w:tr>
      <w:tr>
        <w:tc>
          <w:tcPr>
            <w:tcW w:type="dxa" w:w="2880"/>
          </w:tcPr>
          <w:p>
            <w:r>
              <w:t>2.3 Total expense ratio &amp; waivers</w:t>
            </w:r>
          </w:p>
        </w:tc>
        <w:tc>
          <w:tcPr>
            <w:tcW w:type="dxa" w:w="3600"/>
          </w:tcPr>
          <w:p>
            <w:r>
              <w:t>3.40% net expense ratio</w:t>
            </w:r>
          </w:p>
        </w:tc>
        <w:tc>
          <w:tcPr>
            <w:tcW w:type="dxa" w:w="2880"/>
          </w:tcPr>
          <w:p>
            <w:r>
              <w:t>extracted-unverified</w:t>
            </w:r>
          </w:p>
        </w:tc>
      </w:tr>
      <w:tr>
        <w:tc>
          <w:tcPr>
            <w:tcW w:type="dxa" w:w="2880"/>
          </w:tcPr>
          <w:p>
            <w:r>
              <w:t>2.4 AFFE</w:t>
            </w:r>
          </w:p>
        </w:tc>
        <w:tc>
          <w:tcPr>
            <w:tcW w:type="dxa" w:w="3600"/>
          </w:tcPr>
          <w:p>
            <w:r>
              <w:t>AFFE 0.49%</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fund-of-funds/secondaries in a tender-offer wrapper - founding cohort member.</w:t>
      </w:r>
    </w:p>
    <w:p>
      <w:r>
        <w:t>Cohort placement (evergreen_pe, R4 phrasing): mgmt fee: 50th percentile of cohort (n=5), at the median of 1.4 | expense ratio (bases differ, see notes): 70th percentile of cohort (n=5), above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28, verified 0, computed 10, partial 2,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