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(nontraded_reit, R4 phrasing):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NAV. 3.3 no gating identified in the filings on record. 3.9 verdict varies by plan: conditional, conditional-weak.</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nontraded_reit (n=3: breit, sreit, jll_ipt).</w:t>
            </w:r>
          </w:p>
          <w:p>
            <w:r>
              <w:t>5.6 Benchmark suitability memo (computed): Benchmark suitability (rubric v2, engine output).</w:t>
            </w:r>
          </w:p>
          <w:p>
            <w:r>
              <w:t>5.7 Case-law tracker (partial): Anderson v.</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w:t>
            </w:r>
          </w:p>
          <w:p>
            <w:r>
              <w:t>6.5 Service-provider web (extracted-unverified): Advisor: LaSalle Investment Management, Inc.</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REIT investable proxy (VNQ) (score 9/12)</w:t>
      </w:r>
    </w:p>
    <w:p>
      <w:r>
        <w:t>Comparison not computable on held data: no computable fund return series on record: no multi-year per-class return series is printed: the FY2025 10-K gives net total return only as a 3.0% to 3.8% range across classes and an 8-quarter NAV path without distributions (cells 1.1 and 1.2). The candidate is scored on its own descriptors.</w:t>
      </w:r>
    </w:p>
    <w:p>
      <w:pPr>
        <w:pStyle w:val="ListBullet"/>
      </w:pPr>
      <w:r>
        <w:t>strategy_match 2/3: the public-market version of the asset class (listed reits for core nontraded re)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w:t>
      </w:r>
    </w:p>
    <w:p>
      <w:pPr>
        <w:pStyle w:val="Heading2"/>
      </w:pPr>
      <w:r>
        <w:t>Secondary: NCREIF Fund Index - ODCE (private core RE) (score 7/12)</w:t>
      </w:r>
    </w:p>
    <w:p>
      <w:r>
        <w:t>Comparison not computable on held data: no computable fund return series on record: no multi-year per-class return series is printed: the FY2025 10-K gives net total return only as a 3.0% to 3.8% range across classes and an 8-quarter NAV path without distributions (cells 1.1 and 1.2). The candidate is scored on its own descriptors.</w:t>
      </w:r>
    </w:p>
    <w:p>
      <w:pPr>
        <w:pStyle w:val="ListBullet"/>
      </w:pPr>
      <w:r>
        <w:t>strategy_match 3/3: a private real estate index for a core nontraded re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cohort composite: nontraded_reit without jll_ipt (breit, sreit)</w:t>
            </w:r>
          </w:p>
        </w:tc>
        <w:tc>
          <w:tcPr>
            <w:tcW w:type="dxa" w:w="1152"/>
          </w:tcPr>
          <w:p>
            <w:r>
              <w:t>4/12</w:t>
            </w:r>
          </w:p>
        </w:tc>
        <w:tc>
          <w:tcPr>
            <w:tcW w:type="dxa" w:w="4752"/>
          </w:tcPr>
          <w:p>
            <w:r>
              <w:t>score 4/12 below primary threshold 7</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(nontraded_reit, R4 phrasing): mgmt fee: at the cohort median of 1.25 (n=3, too small for percentile language) | expense ratio (bases differ, see notes): fact unavailable for this member | repurchase cap: above the cohort median of 2 (n=3, too small for percentile language). Stats and per-member values in data/cohorts/nontraded_reit.json, membership rationales in data/facts.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5, partial 5, fetched 1, n/a 19, pending 0. 35 of 35 resolvable, 0 verified, 19 n/a by wrapper.</w:t>
      </w:r>
    </w:p>
    <w:p>
      <w:r>
        <w:t>Of the 34 evidenced cells, 34 carry a source document, 34 a section, 29 a verbatim quote (computed cells carry their computation and inputs instead of a quote) and 34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data/cohorts/nontraded_reit.json</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3.8</w:t>
            </w:r>
          </w:p>
        </w:tc>
        <w:tc>
          <w:tcPr>
            <w:tcW w:type="dxa" w:w="3456"/>
          </w:tcPr>
          <w:p>
            <w:r>
              <w:t>data/liquidity/plan_consulting_alumni__jll_ipt_match.json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data/liquidity/plan_consulting_alumni__jll_ipt_match.json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data/cohorts/nontraded_reit.json</w:t>
            </w:r>
          </w:p>
        </w:tc>
        <w:tc>
          <w:tcPr>
            <w:tcW w:type="dxa" w:w="5184"/>
          </w:tcPr>
          <w:p>
            <w:r>
              <w:t>accession not on record: no filing reference in the source field</w:t>
            </w:r>
          </w:p>
        </w:tc>
      </w:tr>
      <w:tr>
        <w:tc>
          <w:tcPr>
            <w:tcW w:type="dxa" w:w="720"/>
          </w:tcPr>
          <w:p>
            <w:r>
              <w:t>5.6</w:t>
            </w:r>
          </w:p>
        </w:tc>
        <w:tc>
          <w:tcPr>
            <w:tcW w:type="dxa" w:w="3456"/>
          </w:tcPr>
          <w:p>
            <w:r>
              <w:t>data/benchmarks/jll_ipt_selection.json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