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private equity investable proxy (PSP) at 9/12, KS-PME 0.8964, Direct Alpha -4.58%/yr over 2023-09-01 to 2025-12-31.</w:t>
      </w:r>
    </w:p>
    <w:p>
      <w:r>
        <w:t>Flags raised by the record (each restates a typed value or verdict, with its source):</w:t>
      </w:r>
    </w:p>
    <w:p>
      <w:pPr>
        <w:pStyle w:val="ListBullet"/>
      </w:pPr>
      <w:r>
        <w:t>Benchmark: low confidence: 2.33-year window, shorter than 3 years (benchmark comparison)</w:t>
      </w:r>
    </w:p>
    <w:p>
      <w:pPr>
        <w:pStyle w:val="ListBullet"/>
      </w:pPr>
      <w:r>
        <w:t>Tax reporting: Schedule K-1 (cell 6.4)</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private equity investable proxy (PSP)</w:t>
            </w:r>
          </w:p>
        </w:tc>
        <w:tc>
          <w:tcPr>
            <w:tcW w:type="dxa" w:w="864"/>
          </w:tcPr>
          <w:p>
            <w:r>
              <w:t>9/12</w:t>
            </w:r>
          </w:p>
        </w:tc>
        <w:tc>
          <w:tcPr>
            <w:tcW w:type="dxa" w:w="3888"/>
          </w:tcPr>
          <w:p>
            <w:r>
              <w:t>KS-PME 0.8964, Direct Alpha -4.58%/yr, 2023-09-01 to 2025-12-31</w:t>
            </w:r>
          </w:p>
        </w:tc>
      </w:tr>
      <w:tr>
        <w:tc>
          <w:tcPr>
            <w:tcW w:type="dxa" w:w="1152"/>
          </w:tcPr>
          <w:p>
            <w:r>
              <w:t>secondary</w:t>
            </w:r>
          </w:p>
        </w:tc>
        <w:tc>
          <w:tcPr>
            <w:tcW w:type="dxa" w:w="3456"/>
          </w:tcPr>
          <w:p>
            <w:r>
              <w:t>Peer cohort composite: evergreen_pe without kkr_kpec (amg_pantheon, ares_pmf, hl_paf, stepstone_spm)</w:t>
            </w:r>
          </w:p>
        </w:tc>
        <w:tc>
          <w:tcPr>
            <w:tcW w:type="dxa" w:w="864"/>
          </w:tcPr>
          <w:p>
            <w:r>
              <w:t>8/12</w:t>
            </w:r>
          </w:p>
        </w:tc>
        <w:tc>
          <w:tcPr>
            <w:tcW w:type="dxa" w:w="3888"/>
          </w:tcPr>
          <w:p>
            <w:r>
              <w:t>KS-PME 1.0059, Direct Alpha 0.29%/yr, FY2024 to FY2025</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8/12 (only two slots). Retained in log as viable alternate</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nontraded_llc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aggregate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aggregate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partial</w:t>
            </w:r>
          </w:p>
        </w:tc>
        <w:tc>
          <w:tcPr>
            <w:tcW w:type="dxa" w:w="2880"/>
          </w:tcPr>
          <w:p>
            <w:r>
              <w:t>partial</w:t>
            </w:r>
          </w:p>
        </w:tc>
      </w:tr>
      <w:tr>
        <w:tc>
          <w:tcPr>
            <w:tcW w:type="dxa" w:w="2880"/>
          </w:tcPr>
          <w:p>
            <w:r>
              <w:t>2.4 AFFE</w:t>
            </w:r>
          </w:p>
        </w:tc>
        <w:tc>
          <w:tcPr>
            <w:tcW w:type="dxa" w:w="3600"/>
          </w:tcPr>
          <w:p>
            <w:r>
              <w:t>partial</w:t>
            </w:r>
          </w:p>
        </w:tc>
        <w:tc>
          <w:tcPr>
            <w:tcW w:type="dxa" w:w="2880"/>
          </w:tcPr>
          <w:p>
            <w:r>
              <w:t>partial</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(evergreen_pe, R4 phrasing): mgmt fee: 30th percentile of cohort (n=5), below the median of 1.4 | expense ratio (bases differ, see notes): 50th percentile of cohort (n=5), at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