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Blue Owl Credit Income Corp. (perpetual-life non-traded BDC (quarterly 13e-4 tenders), CIK 1812554)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cohort composite: private_credit without ocic (bcred, cion_ares, cliffwater_cclfx, pflex) at 10/12, KS-PME 0.9973, Direct Alpha -0.05%/yr over FY2021 to FY2025.</w:t>
      </w:r>
    </w:p>
    <w:p>
      <w:r>
        <w:t>Flags raised by the record (each restates a typed value or verdict, with its source):</w:t>
      </w:r>
    </w:p>
    <w:p>
      <w:pPr>
        <w:pStyle w:val="ListBullet"/>
      </w:pPr>
      <w:r>
        <w:t>Liquidity: structural verdict partial, facts missing: gate_history (cells 3.1, 3.3)</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private_credit without ocic (bcred, cion_ares, cliffwater_cclfx, pflex)</w:t>
            </w:r>
          </w:p>
        </w:tc>
        <w:tc>
          <w:tcPr>
            <w:tcW w:type="dxa" w:w="864"/>
          </w:tcPr>
          <w:p>
            <w:r>
              <w:t>10/12</w:t>
            </w:r>
          </w:p>
        </w:tc>
        <w:tc>
          <w:tcPr>
            <w:tcW w:type="dxa" w:w="3888"/>
          </w:tcPr>
          <w:p>
            <w:r>
              <w:t>KS-PME 0.9973, Direct Alpha -0.05%/yr,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1.1541, Direct Alpha 2.91%/yr, 2021-01-01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10/12 and secondary 9/12 (only two slots). Retained in log as viable alternate</w:t>
            </w:r>
          </w:p>
        </w:tc>
      </w:tr>
    </w:tbl>
    <w:p>
      <w:pPr>
        <w:pStyle w:val="Heading1"/>
      </w:pPr>
      <w:r>
        <w:t>Exhibit B.</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nontraded_bdc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8.40% net expense ratio</w:t>
            </w:r>
          </w:p>
        </w:tc>
        <w:tc>
          <w:tcPr>
            <w:tcW w:type="dxa" w:w="2880"/>
          </w:tcPr>
          <w:p>
            <w:r>
              <w:t>extracted-unverified</w:t>
            </w:r>
          </w:p>
        </w:tc>
      </w:tr>
      <w:tr>
        <w:tc>
          <w:tcPr>
            <w:tcW w:type="dxa" w:w="2880"/>
          </w:tcPr>
          <w:p>
            <w:r>
              <w:t>2.4 AFFE</w:t>
            </w:r>
          </w:p>
        </w:tc>
        <w:tc>
          <w:tcPr>
            <w:tcW w:type="dxa" w:w="3600"/>
          </w:tcPr>
          <w:p>
            <w:r>
              <w:t>AFFE 0.00%</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Perpetual non-traded BDC running quarterly 13e-4 tenders, bcred's closest structural twin. Admitted via the census promotion pipeline (46 SC TO-I filings as T1 cadence evidence, Owl Rock -&gt; Blue Owl rename verified in the SEC record).</w:t>
      </w:r>
    </w:p>
    <w:p>
      <w:r>
        <w:t>Cohort placement (private_credit, R4 phrasing): mgmt fee: 50th percentile of cohort (n=5), at the median of 1.25 | expense ratio (bases differ, see notes): 90th percentile of cohort (n=5), above the median of 3.76 | repurchase cap: 50th percentile of cohort (n=5), at the median of 5. Stats and per-member values in data/cohorts/private_credit.json, membership rationales in data/facts.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26, verified 0, computed 8, partial 9, fetched 1,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