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Neostellar Capital Corp. (fka SuRo Capital Corp., SSSS) (LISTED BDC (exchange-traded; pre-IPO growth holdings), CIK 1509470)</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Evidence coverage: 43 of 43 resolvable, 0 verified, 11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Peer cohort composite: venture without ssss (arkvx, dxyz)</w:t>
            </w:r>
          </w:p>
        </w:tc>
        <w:tc>
          <w:tcPr>
            <w:tcW w:type="dxa" w:w="864"/>
          </w:tcPr>
          <w:p>
            <w:r>
              <w:t>4/12</w:t>
            </w:r>
          </w:p>
        </w:tc>
        <w:tc>
          <w:tcPr>
            <w:tcW w:type="dxa" w:w="3888"/>
          </w:tcPr>
          <w:p>
            <w:r>
              <w:t>fund price is premium/discount-driven and decoupled from NAV. Benchmarking the price benchmarks the premium, not the portfolio</w:t>
            </w:r>
          </w:p>
        </w:tc>
      </w:tr>
    </w:tbl>
    <w:p>
      <w:pPr>
        <w:pStyle w:val="Heading1"/>
      </w:pPr>
      <w:r>
        <w:t>Exhibit B.</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listed_bdc</w:t>
            </w:r>
          </w:p>
        </w:tc>
        <w:tc>
          <w:tcPr>
            <w:tcW w:type="dxa" w:w="1152"/>
          </w:tcPr>
          <w:p>
            <w:r>
              <w:t>6.1</w:t>
            </w:r>
          </w:p>
        </w:tc>
      </w:tr>
      <w:tr>
        <w:tc>
          <w:tcPr>
            <w:tcW w:type="dxa" w:w="2448"/>
          </w:tcPr>
          <w:p>
            <w:r>
              <w:t>Dealing cadence per year</w:t>
            </w:r>
          </w:p>
        </w:tc>
        <w:tc>
          <w:tcPr>
            <w:tcW w:type="dxa" w:w="5760"/>
          </w:tcPr>
          <w:p>
            <w:r>
              <w:t>252</w:t>
            </w:r>
          </w:p>
        </w:tc>
        <w:tc>
          <w:tcPr>
            <w:tcW w:type="dxa" w:w="1152"/>
          </w:tcPr>
          <w:p>
            <w:r>
              <w:t>3.1</w:t>
            </w:r>
          </w:p>
        </w:tc>
      </w:tr>
      <w:tr>
        <w:tc>
          <w:tcPr>
            <w:tcW w:type="dxa" w:w="2448"/>
          </w:tcPr>
          <w:p>
            <w:r>
              <w:t>Repurchase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not applicable (exchange-traded).</w:t>
      </w:r>
    </w:p>
    <w:p>
      <w:r>
        <w:t>Stressed (tail turnover x2, active turnover x1.5 vs base scenario): demand $13.2M/yr = 16.7%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cell 3.5, cell 3.7, cell 3.9, cell 2.7,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1.75% on gross assets incl. borrowings</w:t>
            </w:r>
          </w:p>
        </w:tc>
        <w:tc>
          <w:tcPr>
            <w:tcW w:type="dxa" w:w="2880"/>
          </w:tcPr>
          <w:p>
            <w:r>
              <w:t>extracted-unverified</w:t>
            </w:r>
          </w:p>
        </w:tc>
      </w:tr>
      <w:tr>
        <w:tc>
          <w:tcPr>
            <w:tcW w:type="dxa" w:w="2880"/>
          </w:tcPr>
          <w:p>
            <w:r>
              <w:t>2.2 Incentive fee terms</w:t>
            </w:r>
          </w:p>
        </w:tc>
        <w:tc>
          <w:tcPr>
            <w:tcW w:type="dxa" w:w="3600"/>
          </w:tcPr>
          <w:p>
            <w:r>
              <w:t>incentive fee: 7% hurdle</w:t>
            </w:r>
          </w:p>
        </w:tc>
        <w:tc>
          <w:tcPr>
            <w:tcW w:type="dxa" w:w="2880"/>
          </w:tcPr>
          <w:p>
            <w:r>
              <w:t>extracted-unverified</w:t>
            </w:r>
          </w:p>
        </w:tc>
      </w:tr>
      <w:tr>
        <w:tc>
          <w:tcPr>
            <w:tcW w:type="dxa" w:w="2880"/>
          </w:tcPr>
          <w:p>
            <w:r>
              <w:t>2.3 Total expense ratio &amp; waivers</w:t>
            </w:r>
          </w:p>
        </w:tc>
        <w:tc>
          <w:tcPr>
            <w:tcW w:type="dxa" w:w="3600"/>
          </w:tcPr>
          <w:p>
            <w:r>
              <w:t>9.46% net expense ratio</w:t>
            </w:r>
          </w:p>
        </w:tc>
        <w:tc>
          <w:tcPr>
            <w:tcW w:type="dxa" w:w="2880"/>
          </w:tcPr>
          <w:p>
            <w:r>
              <w:t>extracted-unverified</w:t>
            </w:r>
          </w:p>
        </w:tc>
      </w:tr>
      <w:tr>
        <w:tc>
          <w:tcPr>
            <w:tcW w:type="dxa" w:w="2880"/>
          </w:tcPr>
          <w:p>
            <w:r>
              <w:t>2.4 AFFE</w:t>
            </w:r>
          </w:p>
        </w:tc>
        <w:tc>
          <w:tcPr>
            <w:tcW w:type="dxa" w:w="3600"/>
          </w:tcPr>
          <w:p>
            <w:r>
              <w:t>AFFE 0.06%</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n/a</w:t>
            </w:r>
          </w:p>
        </w:tc>
        <w:tc>
          <w:tcPr>
            <w:tcW w:type="dxa" w:w="2880"/>
          </w:tcPr>
          <w:p>
            <w:r>
              <w:t>n/a - exchange-traded: no investor-level repurchase/redemption exists, so no early-repurchase fee is possible; exit is on-exchange sale at market price</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Pre-IPO / venture growth (listed CEF + listed BDC + interval fund) (n=3). Listed BDC (fka SuRo Capital) holding late-stage growth equity, the second market-priced venture vehicle. Gives dxyz a premium/discount comparable. Membership CONDITIONAL on strategy continuity through the Neostellar rename (verification queue).</w:t>
      </w:r>
    </w:p>
    <w:p>
      <w:r>
        <w:t>Cohort placement (venture, R4 phrasing): mgmt fee: below the cohort median of 2.5 (n=3, too small for percentile language) | expense ratio (bases differ, see notes): above the cohort median of 4.53 (n=3, too small for percentile language) | repurchase cap: fact unavailable for this member. Stats and per-member values in data/cohorts/venture.json, membership rationales in data/facts.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27, verified 0, computed 11, partial 4, fetched 1, n/a 11,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