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StepStone Private Markets (tender-offer fund ('40 Act), CIK 1789470)</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Benchmark: Peer cohort composite: evergreen_pe without stepstone_spm (amg_pantheon, ares_pmf, hl_paf, kkr_kpec) at 10/12, KS-PME 1.0206, Direct Alpha 0.41%/yr over FY2022 to FY2026.</w:t>
      </w:r>
    </w:p>
    <w:p>
      <w:r>
        <w:t>Flags raised by the record (each restates a typed value or verdict, with its source):</w:t>
      </w:r>
    </w:p>
    <w:p>
      <w:pPr>
        <w:pStyle w:val="ListBullet"/>
      </w:pPr>
      <w:r>
        <w:t>Liquidity: structural verdict partial, facts missing: gate_history (cells 3.1, 3.3)</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evergreen_pe without stepstone_spm (amg_pantheon, ares_pmf, hl_paf, kkr_kpec)</w:t>
            </w:r>
          </w:p>
        </w:tc>
        <w:tc>
          <w:tcPr>
            <w:tcW w:type="dxa" w:w="864"/>
          </w:tcPr>
          <w:p>
            <w:r>
              <w:t>10/12</w:t>
            </w:r>
          </w:p>
        </w:tc>
        <w:tc>
          <w:tcPr>
            <w:tcW w:type="dxa" w:w="3888"/>
          </w:tcPr>
          <w:p>
            <w:r>
              <w:t>KS-PME 1.0206, Direct Alpha 0.41%/yr, FY2022 to FY2026</w:t>
            </w:r>
          </w:p>
        </w:tc>
      </w:tr>
      <w:tr>
        <w:tc>
          <w:tcPr>
            <w:tcW w:type="dxa" w:w="1152"/>
          </w:tcPr>
          <w:p>
            <w:r>
              <w:t>secondary</w:t>
            </w:r>
          </w:p>
        </w:tc>
        <w:tc>
          <w:tcPr>
            <w:tcW w:type="dxa" w:w="3456"/>
          </w:tcPr>
          <w:p>
            <w:r>
              <w:t>Listed private equity investable proxy (PSP)</w:t>
            </w:r>
          </w:p>
        </w:tc>
        <w:tc>
          <w:tcPr>
            <w:tcW w:type="dxa" w:w="864"/>
          </w:tcPr>
          <w:p>
            <w:r>
              <w:t>9/12</w:t>
            </w:r>
          </w:p>
        </w:tc>
        <w:tc>
          <w:tcPr>
            <w:tcW w:type="dxa" w:w="3888"/>
          </w:tcPr>
          <w:p>
            <w:r>
              <w:t>KS-PME 1.762, Direct Alpha 12.0%/yr, 2021-03-31 to 2026-03-31</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Cambridge Associates US PE benchmark</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net assets</w:t>
            </w:r>
          </w:p>
        </w:tc>
        <w:tc>
          <w:tcPr>
            <w:tcW w:type="dxa" w:w="2880"/>
          </w:tcPr>
          <w:p>
            <w:r>
              <w:t>extracted-unverified</w:t>
            </w:r>
          </w:p>
        </w:tc>
      </w:tr>
      <w:tr>
        <w:tc>
          <w:tcPr>
            <w:tcW w:type="dxa" w:w="2880"/>
          </w:tcPr>
          <w:p>
            <w:r>
              <w:t>2.2 Incentive fee terms</w:t>
            </w:r>
          </w:p>
        </w:tc>
        <w:tc>
          <w:tcPr>
            <w:tcW w:type="dxa" w:w="3600"/>
          </w:tcPr>
          <w:p>
            <w:r>
              <w:t>partial</w:t>
            </w:r>
          </w:p>
        </w:tc>
        <w:tc>
          <w:tcPr>
            <w:tcW w:type="dxa" w:w="2880"/>
          </w:tcPr>
          <w:p>
            <w:r>
              <w:t>partial</w:t>
            </w:r>
          </w:p>
        </w:tc>
      </w:tr>
      <w:tr>
        <w:tc>
          <w:tcPr>
            <w:tcW w:type="dxa" w:w="2880"/>
          </w:tcPr>
          <w:p>
            <w:r>
              <w:t>2.3 Total expense ratio &amp; waivers</w:t>
            </w:r>
          </w:p>
        </w:tc>
        <w:tc>
          <w:tcPr>
            <w:tcW w:type="dxa" w:w="3600"/>
          </w:tcPr>
          <w:p>
            <w:r>
              <w:t>1.91% net expense ratio</w:t>
            </w:r>
          </w:p>
        </w:tc>
        <w:tc>
          <w:tcPr>
            <w:tcW w:type="dxa" w:w="2880"/>
          </w:tcPr>
          <w:p>
            <w:r>
              <w:t>extracted-unverified</w:t>
            </w:r>
          </w:p>
        </w:tc>
      </w:tr>
      <w:tr>
        <w:tc>
          <w:tcPr>
            <w:tcW w:type="dxa" w:w="2880"/>
          </w:tcPr>
          <w:p>
            <w:r>
              <w:t>2.4 AFFE</w:t>
            </w:r>
          </w:p>
        </w:tc>
        <w:tc>
          <w:tcPr>
            <w:tcW w:type="dxa" w:w="3600"/>
          </w:tcPr>
          <w:p>
            <w:r>
              <w:t>AFFE 0.59%</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partial</w:t>
            </w:r>
          </w:p>
        </w:tc>
        <w:tc>
          <w:tcPr>
            <w:tcW w:type="dxa" w:w="2880"/>
          </w:tcPr>
          <w:p>
            <w:r>
              <w:t>partial</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multi-strategy (secondaries-led) tender-offer fund - founding cohort member.</w:t>
      </w:r>
    </w:p>
    <w:p>
      <w:r>
        <w:t>Cohort placement (evergreen_pe, R4 phrasing): mgmt fee: 50th percentile of cohort (n=5), at the median of 1.4 | expense ratio (bases differ, see notes): 10th percentile of cohort (n=5), below the median of 3.19 | repurchase cap: 50th percentile of cohort (n=5), at the median of 5. Stats and per-member values in data/cohorts/evergreen_pe.json, membership rationales in data/facts.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27, verified 0, computed 10,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