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media/technology company 401(k) plan (~$570M, New York)</w:t>
        <w:br/>
      </w:r>
      <w:r>
        <w:t>Product: AMG Pantheon Fund, LLC (tender-offer fund ('40 Act), evergreen PE, CIK 1609211)</w:t>
        <w:br/>
      </w:r>
      <w:r>
        <w:t>Record as of 2026-09-04. DRAFT, generated by the build from the record. The decision memo for the same plan and product is a separate document.</w:t>
      </w:r>
    </w:p>
    <w:p>
      <w:pPr>
        <w:pStyle w:val="Heading1"/>
      </w:pPr>
      <w:r>
        <w:t>Summary</w:t>
      </w:r>
    </w:p>
    <w:p>
      <w:r>
        <w:t>Structural liquidity verdict: CONDITIONAL (typed facts, plan-independent). Scenario verdict under this plan (ILLUSTRATIVE, default sliders): CONDITIONAL.</w:t>
      </w:r>
    </w:p>
    <w:p>
      <w:r>
        <w:t>Benchmark: Peer cohort composite: evergreen_pe without amg_pantheon (ares_pmf, hl_paf, kkr_kpec, stepstone_spm) at 10/12, KS-PME 0.8357, Direct Alpha -3.53%/yr over FY2022 to FY2026.</w:t>
      </w:r>
    </w:p>
    <w:p>
      <w:r>
        <w:t>Flags raised by the record (each restates a typed value or verdict, with its source):</w:t>
      </w:r>
    </w:p>
    <w:p>
      <w:pPr>
        <w:pStyle w:val="ListBullet"/>
      </w:pPr>
      <w:r>
        <w:t>none</w:t>
      </w:r>
    </w:p>
    <w:p>
      <w:r>
        <w:t>Evidence coverage: 40 of 40 resolvable, 0 verified, 14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Rubric v2, threshold 7 of 12, strategy gate. Max attainable on held data 10/12.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primary</w:t>
            </w:r>
          </w:p>
        </w:tc>
        <w:tc>
          <w:tcPr>
            <w:tcW w:type="dxa" w:w="3456"/>
          </w:tcPr>
          <w:p>
            <w:r>
              <w:t>Peer cohort composite: evergreen_pe without amg_pantheon (ares_pmf, hl_paf, kkr_kpec, stepstone_spm)</w:t>
            </w:r>
          </w:p>
        </w:tc>
        <w:tc>
          <w:tcPr>
            <w:tcW w:type="dxa" w:w="864"/>
          </w:tcPr>
          <w:p>
            <w:r>
              <w:t>10/12</w:t>
            </w:r>
          </w:p>
        </w:tc>
        <w:tc>
          <w:tcPr>
            <w:tcW w:type="dxa" w:w="3888"/>
          </w:tcPr>
          <w:p>
            <w:r>
              <w:t>KS-PME 0.8357, Direct Alpha -3.53%/yr, FY2022 to FY2026</w:t>
            </w:r>
          </w:p>
        </w:tc>
      </w:tr>
      <w:tr>
        <w:tc>
          <w:tcPr>
            <w:tcW w:type="dxa" w:w="1152"/>
          </w:tcPr>
          <w:p>
            <w:r>
              <w:t>secondary</w:t>
            </w:r>
          </w:p>
        </w:tc>
        <w:tc>
          <w:tcPr>
            <w:tcW w:type="dxa" w:w="3456"/>
          </w:tcPr>
          <w:p>
            <w:r>
              <w:t>Listed private equity investable proxy (PSP)</w:t>
            </w:r>
          </w:p>
        </w:tc>
        <w:tc>
          <w:tcPr>
            <w:tcW w:type="dxa" w:w="864"/>
          </w:tcPr>
          <w:p>
            <w:r>
              <w:t>9/12</w:t>
            </w:r>
          </w:p>
        </w:tc>
        <w:tc>
          <w:tcPr>
            <w:tcW w:type="dxa" w:w="3888"/>
          </w:tcPr>
          <w:p>
            <w:r>
              <w:t>KS-PME 1.5919, Direct Alpha 6.87%/yr, 2019-03-31 to 2026-03-31</w:t>
            </w:r>
          </w:p>
        </w:tc>
      </w:tr>
      <w:tr>
        <w:tc>
          <w:tcPr>
            <w:tcW w:type="dxa" w:w="1152"/>
          </w:tcPr>
          <w:p>
            <w:r>
              <w:t>rejected</w:t>
            </w:r>
          </w:p>
        </w:tc>
        <w:tc>
          <w:tcPr>
            <w:tcW w:type="dxa" w:w="3456"/>
          </w:tcPr>
          <w:p>
            <w:r>
              <w:t>MSCI World investable proxy (URTH)</w:t>
            </w:r>
          </w:p>
        </w:tc>
        <w:tc>
          <w:tcPr>
            <w:tcW w:type="dxa" w:w="864"/>
          </w:tcPr>
          <w:p>
            <w:r>
              <w:t>8/12</w:t>
            </w:r>
          </w:p>
        </w:tc>
        <w:tc>
          <w:tcPr>
            <w:tcW w:type="dxa" w:w="3888"/>
          </w:tcPr>
          <w:p>
            <w:r>
              <w:t>rejected: strategy gate (score 8/12 but strategy_match 1/3)</w:t>
            </w:r>
          </w:p>
        </w:tc>
      </w:tr>
      <w:tr>
        <w:tc>
          <w:tcPr>
            <w:tcW w:type="dxa" w:w="1152"/>
          </w:tcPr>
          <w:p>
            <w:r>
              <w:t>rejected</w:t>
            </w:r>
          </w:p>
        </w:tc>
        <w:tc>
          <w:tcPr>
            <w:tcW w:type="dxa" w:w="3456"/>
          </w:tcPr>
          <w:p>
            <w:r>
              <w:t>Cambridge Associates US PE benchmark</w:t>
            </w:r>
          </w:p>
        </w:tc>
        <w:tc>
          <w:tcPr>
            <w:tcW w:type="dxa" w:w="864"/>
          </w:tcPr>
          <w:p>
            <w:r>
              <w:t>7/12</w:t>
            </w:r>
          </w:p>
        </w:tc>
        <w:tc>
          <w:tcPr>
            <w:tcW w:type="dxa" w:w="3888"/>
          </w:tcPr>
          <w:p>
            <w:r>
              <w:t>outranked: score 7/12 vs primary 10/12 and secondary 9/12 (only two slots). Retained in log as viable alternate</w:t>
            </w:r>
          </w:p>
        </w:tc>
      </w:tr>
    </w:tbl>
    <w:p>
      <w:pPr>
        <w:pStyle w:val="Heading1"/>
      </w:pPr>
      <w:r>
        <w:t>Exhibit B.</w:t>
      </w:r>
    </w:p>
    <w:p>
      <w:pPr>
        <w:pStyle w:val="Heading1"/>
      </w:pPr>
      <w:r>
        <w:t>Product-to-plan liquidity match</w:t>
      </w:r>
    </w:p>
    <w:p>
      <w:r>
        <w:t>Plan: US media/technology company 401(k) plan (~$570M, New York). verdict is structural (typed facts, cells 3.1, 3.3, 2.7, plan-independent). scenario_verdict is ILLUSTRATIVE (demand model against the same capacity, per plan).</w:t>
      </w:r>
    </w:p>
    <w:p>
      <w:pPr>
        <w:pStyle w:val="Heading2"/>
      </w:pPr>
      <w:r>
        <w:t>Structural verdict (typed facts, plan-independent)</w:t>
      </w:r>
    </w:p>
    <w:p>
      <w:r>
        <w:t>CONDITIONAL</w:t>
      </w:r>
    </w:p>
    <w:p>
      <w:pPr>
        <w:pStyle w:val="ListBullet"/>
      </w:pPr>
      <w:r>
        <w:t>STRUCTURAL GAP: a participant-directed 404(c) menu assumes daily pricing and daily participant liquidity, whereas this wrapper deals 4x/year. Direct DIA use requires a bridging structure: CIT sleeve, managed account, or TDF sleeve (cell 3.5).</w:t>
      </w:r>
    </w:p>
    <w:p>
      <w:pPr>
        <w:pStyle w:val="ListBullet"/>
      </w:pPr>
      <w:r>
        <w:t>Early repurchase economics: 2%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tender_offer</w:t>
            </w:r>
          </w:p>
        </w:tc>
        <w:tc>
          <w:tcPr>
            <w:tcW w:type="dxa" w:w="1152"/>
          </w:tcPr>
          <w:p>
            <w:r>
              <w:t>6.1</w:t>
            </w:r>
          </w:p>
        </w:tc>
      </w:tr>
      <w:tr>
        <w:tc>
          <w:tcPr>
            <w:tcW w:type="dxa" w:w="2448"/>
          </w:tcPr>
          <w:p>
            <w:r>
              <w:t>Dealing cadence per year</w:t>
            </w:r>
          </w:p>
        </w:tc>
        <w:tc>
          <w:tcPr>
            <w:tcW w:type="dxa" w:w="5760"/>
          </w:tcPr>
          <w:p>
            <w:r>
              <w:t>4</w:t>
            </w:r>
          </w:p>
        </w:tc>
        <w:tc>
          <w:tcPr>
            <w:tcW w:type="dxa" w:w="1152"/>
          </w:tcPr>
          <w:p>
            <w:r>
              <w:t>3.3</w:t>
            </w:r>
          </w:p>
        </w:tc>
      </w:tr>
      <w:tr>
        <w:tc>
          <w:tcPr>
            <w:tcW w:type="dxa" w:w="2448"/>
          </w:tcPr>
          <w:p>
            <w:r>
              <w:t>Repurchase cap</w:t>
            </w:r>
          </w:p>
        </w:tc>
        <w:tc>
          <w:tcPr>
            <w:tcW w:type="dxa" w:w="5760"/>
          </w:tcPr>
          <w:p>
            <w:r>
              <w:t>5% of outstanding shares</w:t>
            </w:r>
          </w:p>
        </w:tc>
        <w:tc>
          <w:tcPr>
            <w:tcW w:type="dxa" w:w="1152"/>
          </w:tcPr>
          <w:p>
            <w:r>
              <w:t>3.3</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2026-03-31</w:t>
            </w:r>
          </w:p>
        </w:tc>
        <w:tc>
          <w:tcPr>
            <w:tcW w:type="dxa" w:w="1152"/>
          </w:tcPr>
          <w:p>
            <w:r>
              <w:t>3.1</w:t>
            </w:r>
          </w:p>
        </w:tc>
      </w:tr>
      <w:tr>
        <w:tc>
          <w:tcPr>
            <w:tcW w:type="dxa" w:w="2448"/>
          </w:tcPr>
          <w:p>
            <w:r>
              <w:t>Early repurchase fee</w:t>
            </w:r>
          </w:p>
        </w:tc>
        <w:tc>
          <w:tcPr>
            <w:tcW w:type="dxa" w:w="5760"/>
          </w:tcPr>
          <w:p>
            <w:r>
              <w:t>2% if held &lt; 1 year (2.7)</w:t>
            </w:r>
          </w:p>
        </w:tc>
        <w:tc>
          <w:tcPr>
            <w:tcW w:type="dxa" w:w="1152"/>
          </w:tcPr>
          <w:p>
            <w:r>
              <w:t>2.7</w:t>
            </w:r>
          </w:p>
        </w:tc>
      </w:tr>
    </w:tbl>
    <w:p>
      <w:pPr>
        <w:pStyle w:val="Heading2"/>
      </w:pPr>
      <w:r>
        <w:t>Scenario (ILLUSTRATIVE, this plan)</w:t>
      </w:r>
    </w:p>
    <w:p>
      <w:r>
        <w:t>Plan inputs (Form 5500): net assets $565.8M, liquidity tail 36.1% of accounts (1,847 separated participants with balances).</w:t>
      </w:r>
    </w:p>
    <w:p>
      <w:r>
        <w:t>Parameters (adjustable on the site, not facts): allocation 5% of plan = $28.3M, tail turnover 20%/yr, active turnover 5%/yr. Base demand $2.9M/yr = 10.4% of the position vs annual wrapper capacity 20%.</w:t>
      </w:r>
    </w:p>
    <w:p>
      <w:r>
        <w:t>Stressed (tail turnover x2, active turnover x1.5 vs base scenario): demand $5.4M/yr = 19.2% of the position. within wrapper capacity (19.2% vs 20%) IF offers are not prorated.</w:t>
      </w:r>
    </w:p>
    <w:p>
      <w:r>
        <w:t>Scenario verdict (ILLUSTRATIVE, this plan): CONDITIONAL.</w:t>
      </w:r>
    </w:p>
    <w:p>
      <w:pPr>
        <w:pStyle w:val="ListBullet"/>
      </w:pPr>
      <w:r>
        <w:t>Capacity: 4x per year at 5% of outstanding shares: at most 20% of the position per year. This is a FUND-level cap shared by every holder, so the plan's position is served only while offers are not oversubscribed.</w:t>
      </w:r>
    </w:p>
    <w:p>
      <w:pPr>
        <w:pStyle w:val="ListBullet"/>
      </w:pPr>
      <w:r>
        <w:t>Scenario demand (illustrative): 10.4% of the position per year vs 20% annual wrapper capacity. Adequate headroom at this allocation if offers are not prorated.</w:t>
      </w:r>
    </w:p>
    <w:p>
      <w:pPr>
        <w:pStyle w:val="ListBullet"/>
      </w:pPr>
      <w:r>
        <w:t>Scenario verdict (ILLUSTRATIVE, this plan): conditional. It moves with the sliders and the plan. Proration assumption: an oversubscribed offer is filled pro rata and the unfilled remainder waits for the next window.</w:t>
      </w:r>
    </w:p>
    <w:p>
      <w:pPr>
        <w:pStyle w:val="ListBullet"/>
      </w:pPr>
      <w:r>
        <w:t>Schedule H benefit payments (line 2e) not typed: the DOL bulk file F_SCH_H_2024_latest.csv is not in the repository and askebsa.dol.gov is blocked from the build container. Fill from the bulk file on a machine with access, citing the row. Demand uses the illustrative turnover sliders only.</w:t>
      </w:r>
    </w:p>
    <w:p>
      <w:r>
        <w:t>Cited: cell 3.1, cell 3.3, cell 3.5, cell 3.7, cell 3.9, cell 2.7, plan: plan_tech_media.json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0.70% on net assets</w:t>
            </w:r>
          </w:p>
        </w:tc>
        <w:tc>
          <w:tcPr>
            <w:tcW w:type="dxa" w:w="2880"/>
          </w:tcPr>
          <w:p>
            <w:r>
              <w:t>extracted-unverified</w:t>
            </w:r>
          </w:p>
        </w:tc>
      </w:tr>
      <w:tr>
        <w:tc>
          <w:tcPr>
            <w:tcW w:type="dxa" w:w="2880"/>
          </w:tcPr>
          <w:p>
            <w:r>
              <w:t>2.2 Incentive fee terms</w:t>
            </w:r>
          </w:p>
        </w:tc>
        <w:tc>
          <w:tcPr>
            <w:tcW w:type="dxa" w:w="3600"/>
          </w:tcPr>
          <w:p>
            <w:r>
              <w:t>incentive fee: none</w:t>
            </w:r>
          </w:p>
        </w:tc>
        <w:tc>
          <w:tcPr>
            <w:tcW w:type="dxa" w:w="2880"/>
          </w:tcPr>
          <w:p>
            <w:r>
              <w:t>extracted-unverified</w:t>
            </w:r>
          </w:p>
        </w:tc>
      </w:tr>
      <w:tr>
        <w:tc>
          <w:tcPr>
            <w:tcW w:type="dxa" w:w="2880"/>
          </w:tcPr>
          <w:p>
            <w:r>
              <w:t>2.3 Total expense ratio &amp; waivers</w:t>
            </w:r>
          </w:p>
        </w:tc>
        <w:tc>
          <w:tcPr>
            <w:tcW w:type="dxa" w:w="3600"/>
          </w:tcPr>
          <w:p>
            <w:r>
              <w:t>2.38% net expense ratio</w:t>
            </w:r>
          </w:p>
        </w:tc>
        <w:tc>
          <w:tcPr>
            <w:tcW w:type="dxa" w:w="2880"/>
          </w:tcPr>
          <w:p>
            <w:r>
              <w:t>extracted-unverified</w:t>
            </w:r>
          </w:p>
        </w:tc>
      </w:tr>
      <w:tr>
        <w:tc>
          <w:tcPr>
            <w:tcW w:type="dxa" w:w="2880"/>
          </w:tcPr>
          <w:p>
            <w:r>
              <w:t>2.4 AFFE</w:t>
            </w:r>
          </w:p>
        </w:tc>
        <w:tc>
          <w:tcPr>
            <w:tcW w:type="dxa" w:w="3600"/>
          </w:tcPr>
          <w:p>
            <w:r>
              <w:t>AFFE 0.81%</w:t>
            </w:r>
          </w:p>
        </w:tc>
        <w:tc>
          <w:tcPr>
            <w:tcW w:type="dxa" w:w="2880"/>
          </w:tcPr>
          <w:p>
            <w:r>
              <w:t>extracted-unverified</w:t>
            </w:r>
          </w:p>
        </w:tc>
      </w:tr>
      <w:tr>
        <w:tc>
          <w:tcPr>
            <w:tcW w:type="dxa" w:w="2880"/>
          </w:tcPr>
          <w:p>
            <w:r>
              <w:t>2.6 Loads &amp; servicing fees</w:t>
            </w:r>
          </w:p>
        </w:tc>
        <w:tc>
          <w:tcPr>
            <w:tcW w:type="dxa" w:w="3600"/>
          </w:tcPr>
          <w:p>
            <w:r>
              <w:t>extracted</w:t>
            </w:r>
          </w:p>
        </w:tc>
        <w:tc>
          <w:tcPr>
            <w:tcW w:type="dxa" w:w="2880"/>
          </w:tcPr>
          <w:p>
            <w:r>
              <w:t>extracted-unverified</w:t>
            </w:r>
          </w:p>
        </w:tc>
      </w:tr>
      <w:tr>
        <w:tc>
          <w:tcPr>
            <w:tcW w:type="dxa" w:w="2880"/>
          </w:tcPr>
          <w:p>
            <w:r>
              <w:t>2.7 Early repurchase fee</w:t>
            </w:r>
          </w:p>
        </w:tc>
        <w:tc>
          <w:tcPr>
            <w:tcW w:type="dxa" w:w="3600"/>
          </w:tcPr>
          <w:p>
            <w:r>
              <w:t>early repurchase fee: 2% &lt; 1 year</w:t>
            </w:r>
          </w:p>
        </w:tc>
        <w:tc>
          <w:tcPr>
            <w:tcW w:type="dxa" w:w="2880"/>
          </w:tcPr>
          <w:p>
            <w:r>
              <w:t>extracted-unverified</w:t>
            </w:r>
          </w:p>
        </w:tc>
      </w:tr>
      <w:tr>
        <w:tc>
          <w:tcPr>
            <w:tcW w:type="dxa" w:w="2880"/>
          </w:tcPr>
          <w:p>
            <w:r>
              <w:t>6.4 Tax reporting (1099 vs K-1)</w:t>
            </w:r>
          </w:p>
        </w:tc>
        <w:tc>
          <w:tcPr>
            <w:tcW w:type="dxa" w:w="3600"/>
          </w:tcPr>
          <w:p>
            <w:r>
              <w:t>Form 1099</w:t>
            </w:r>
          </w:p>
        </w:tc>
        <w:tc>
          <w:tcPr>
            <w:tcW w:type="dxa" w:w="2880"/>
          </w:tcPr>
          <w:p>
            <w:r>
              <w:t>extracted-unverified</w:t>
            </w:r>
          </w:p>
        </w:tc>
      </w:tr>
    </w:tbl>
    <w:p>
      <w:pPr>
        <w:pStyle w:val="Heading1"/>
      </w:pPr>
      <w:r>
        <w:t>Exhibit D. Peer cohort placement</w:t>
      </w:r>
    </w:p>
    <w:p>
      <w:r>
        <w:t>Cohort Evergreen private equity ('40-Act funds + '34-Act conglomerate) (n=5). Evergreen PE (Pantheon) tender-offer LLC - wrapper and strategy twin of hl_paf/stepstone_spm.</w:t>
      </w:r>
    </w:p>
    <w:p>
      <w:r>
        <w:t>Cohort placement (evergreen_pe, R4 phrasing): mgmt fee: 10th percentile of cohort (n=5), below the median of 1.4 | expense ratio (bases differ, see notes): 30th percentile of cohort (n=5), below the median of 3.19 | repurchase cap: 50th percentile of cohort (n=5), at the median of 5. Stats and per-member values in data/cohorts/evergreen_pe.json, membership rationales in data/facts.</w:t>
      </w:r>
    </w:p>
    <w:p>
      <w:pPr>
        <w:pStyle w:val="ListBullet"/>
      </w:pPr>
      <w:r>
        <w:t>LEVERAGE-REGIME MIX: BDC 150% coverage and non-1940-Act wrappers allow materially more leverage than 1940-Act funds. Fee bases and return volatility are not like-for-like. [typed per product: amg_pantheon: 1940-Act asset-coverage limits, ares_pmf: 1940-Act asset-coverage limits, hl_paf: 1940-Act asset-coverage limits, kkr_kpec: no 1940-Act leverage limits (34-Act conglomerate), stepstone_spm: 1940-Act asset-coverage limits]</w:t>
      </w:r>
    </w:p>
    <w:p>
      <w:pPr>
        <w:pStyle w:val="ListBullet"/>
      </w:pPr>
      <w:r>
        <w:t>LIQUIDITY-LAW MIX: Rule 23c-3 obligations, discretionary tenders, and repurchase plans give different worst-case exit rights. Cadence numbers alone overstate comparability. [by wrapper type: amg_pantheon: board-DISCRETIONARY tender offers (nothing compels the next one), ares_pmf: board-DISCRETIONARY tender offers (nothing compels the next one), hl_paf: board-DISCRETIONARY tender offers (nothing compels the next one), kkr_kpec: board-discretionary share repurchases, stepstone_spm: board-DISCRETIONARY tender offers (nothing compels the next one)]</w:t>
      </w:r>
    </w:p>
    <w:p>
      <w:pPr>
        <w:pStyle w:val="ListBullet"/>
      </w:pPr>
      <w:r>
        <w:t>kkr_kpec joins under the authorized fallback: its structural twins are Reg D vehicles with no public filings (data/roster_decisions.md - 'The kkr_kpec ruling'). Cross-wrapper caveats apply.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w:t>
      </w:r>
    </w:p>
    <w:p>
      <w:pPr>
        <w:pStyle w:val="Heading1"/>
      </w:pPr>
      <w:r>
        <w:t>Provenance</w:t>
      </w:r>
    </w:p>
    <w:p>
      <w:r>
        <w:t>Cell status for this product: structured 0, extracted-unverified 27, verified 0, computed 9, partial 3, fetched 1, n/a 14,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Sponsor name NEVER appears on demo surfaces. Data is public (DOL Form 5500 FOIA files); anonymization is a project display rule, not a legal requirement.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