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ARK Venture Fund (TRUE interval fund (Rule 23c-3), venture/growth (ARKVX), CIK 1905088)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escalated.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w:t>
      </w:r>
    </w:p>
    <w:p>
      <w:r>
        <w:t>Flags raised by the record (each restates a typed value or verdict, with its source):</w:t>
      </w:r>
    </w:p>
    <w:p>
      <w:pPr>
        <w:pStyle w:val="ListBullet"/>
      </w:pPr>
      <w:r>
        <w:t>Benchmark: NO MEANINGFUL BENCHMARK CONSTRUCTIBLE from held data: no candidate passes the strategy gate at or above 7/12. spy 8/12 (rejected: strategy gate); psp_v 8/12 (rejected: strategy gate); peer_venture 2/12 (score 2/12 below primary threshold 7). Required next: a strategy-exact series (a venture index or a computable peer cohort of at least three NAV-priced members). (benchmark selection)</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cohort composite: venture without arkvx (dxyz, ssss)</w:t>
            </w:r>
          </w:p>
        </w:tc>
        <w:tc>
          <w:tcPr>
            <w:tcW w:type="dxa" w:w="864"/>
          </w:tcPr>
          <w:p>
            <w:r>
              <w:t>2/12</w:t>
            </w:r>
          </w:p>
        </w:tc>
        <w:tc>
          <w:tcPr>
            <w:tcW w:type="dxa" w:w="3888"/>
          </w:tcPr>
          <w:p>
            <w:r>
              <w:t>score 2/12 below primary threshold 7</w:t>
            </w:r>
          </w:p>
        </w:tc>
      </w:tr>
    </w:tbl>
    <w:p>
      <w:pPr>
        <w:pStyle w:val="Heading1"/>
      </w:pPr>
      <w:r>
        <w:t>Exhibit B.</w:t>
      </w:r>
    </w:p>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2.75%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2.90% net expense ratio</w:t>
            </w:r>
          </w:p>
        </w:tc>
        <w:tc>
          <w:tcPr>
            <w:tcW w:type="dxa" w:w="2880"/>
          </w:tcPr>
          <w:p>
            <w:r>
              <w:t>extracted-unverified</w:t>
            </w:r>
          </w:p>
        </w:tc>
      </w:tr>
      <w:tr>
        <w:tc>
          <w:tcPr>
            <w:tcW w:type="dxa" w:w="2880"/>
          </w:tcPr>
          <w:p>
            <w:r>
              <w:t>2.4 AFFE</w:t>
            </w:r>
          </w:p>
        </w:tc>
        <w:tc>
          <w:tcPr>
            <w:tcW w:type="dxa" w:w="3600"/>
          </w:tcPr>
          <w:p>
            <w:r>
              <w:t>AFFE 0.01%</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Pre-IPO / venture growth (listed CEF + listed BDC + interval fund) (n=3). Interval fund holding venture/growth, the NAV-priced contrast to the two market-priced members. Pricing-basis mix is the cohort's disclosed core caveat (composite refused).</w:t>
      </w:r>
    </w:p>
    <w:p>
      <w:r>
        <w:t>Cohort placement (venture, R4 phrasing): mgmt fee: above the cohort median of 2.5 (n=3, too small for percentile language) | expense ratio (bases differ, see notes): below the cohort median of 4.53 (n=3, too small for percentile language) | repurchase cap: only member with this fact (n=1).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