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Blackstone Private Credit Fund (non-traded BDC ('34 Act reporting; continuous offering), CIK 1803498)</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Peer cohort composite: private_credit without bcred (cion_ares, cliffwater_cclfx, ocic, pflex) at 10/12, KS-PME 1.0798, Direct Alpha 1.55%/yr over FY2021 to FY2025.</w:t>
      </w:r>
    </w:p>
    <w:p>
      <w:r>
        <w:t>Flags raised by the record (each restates a typed value or verdict, with its source):</w:t>
      </w:r>
    </w:p>
    <w:p>
      <w:pPr>
        <w:pStyle w:val="ListBullet"/>
      </w:pPr>
      <w:r>
        <w:t>none</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private_credit without bcred (cion_ares, cliffwater_cclfx, ocic, pflex)</w:t>
            </w:r>
          </w:p>
        </w:tc>
        <w:tc>
          <w:tcPr>
            <w:tcW w:type="dxa" w:w="864"/>
          </w:tcPr>
          <w:p>
            <w:r>
              <w:t>10/12</w:t>
            </w:r>
          </w:p>
        </w:tc>
        <w:tc>
          <w:tcPr>
            <w:tcW w:type="dxa" w:w="3888"/>
          </w:tcPr>
          <w:p>
            <w:r>
              <w:t>KS-PME 1.0798, Direct Alpha 1.55%/yr,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1.2378, Direct Alpha 4.38%/yr, 2021-01-07 to 2025-12-31</w:t>
            </w:r>
          </w:p>
        </w:tc>
      </w:tr>
      <w:tr>
        <w:tc>
          <w:tcPr>
            <w:tcW w:type="dxa" w:w="1152"/>
          </w:tcPr>
          <w:p>
            <w:r>
              <w:t>rejected</w:t>
            </w:r>
          </w:p>
        </w:tc>
        <w:tc>
          <w:tcPr>
            <w:tcW w:type="dxa" w:w="3456"/>
          </w:tcPr>
          <w:p>
            <w:r>
              <w:t>Cliffwater Direct Lending Index (CDLI)</w:t>
            </w:r>
          </w:p>
        </w:tc>
        <w:tc>
          <w:tcPr>
            <w:tcW w:type="dxa" w:w="864"/>
          </w:tcPr>
          <w:p>
            <w:r>
              <w:t>7/12</w:t>
            </w:r>
          </w:p>
        </w:tc>
        <w:tc>
          <w:tcPr>
            <w:tcW w:type="dxa" w:w="3888"/>
          </w:tcPr>
          <w:p>
            <w:r>
              <w:t>outranked: score 7/12 vs primary 10/12 and secondary 9/12 (only two slots). Retained in log as viable alternate</w:t>
            </w:r>
          </w:p>
        </w:tc>
      </w:tr>
    </w:tbl>
    <w:p>
      <w:pPr>
        <w:pStyle w:val="Heading1"/>
      </w:pPr>
      <w:r>
        <w:t>Exhibit B.</w:t>
      </w:r>
    </w:p>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nontraded_bdc</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nav</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4x per year at 5% of nav: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net assets</w:t>
            </w:r>
          </w:p>
        </w:tc>
        <w:tc>
          <w:tcPr>
            <w:tcW w:type="dxa" w:w="2880"/>
          </w:tcPr>
          <w:p>
            <w:r>
              <w:t>extracted-unverified</w:t>
            </w:r>
          </w:p>
        </w:tc>
      </w:tr>
      <w:tr>
        <w:tc>
          <w:tcPr>
            <w:tcW w:type="dxa" w:w="2880"/>
          </w:tcPr>
          <w:p>
            <w:r>
              <w:t>2.2 Incentive fee terms</w:t>
            </w:r>
          </w:p>
        </w:tc>
        <w:tc>
          <w:tcPr>
            <w:tcW w:type="dxa" w:w="3600"/>
          </w:tcPr>
          <w:p>
            <w:r>
              <w:t>incentive fee: 12.5% / 5% hurdle</w:t>
            </w:r>
          </w:p>
        </w:tc>
        <w:tc>
          <w:tcPr>
            <w:tcW w:type="dxa" w:w="2880"/>
          </w:tcPr>
          <w:p>
            <w:r>
              <w:t>extracted-unverified</w:t>
            </w:r>
          </w:p>
        </w:tc>
      </w:tr>
      <w:tr>
        <w:tc>
          <w:tcPr>
            <w:tcW w:type="dxa" w:w="2880"/>
          </w:tcPr>
          <w:p>
            <w:r>
              <w:t>2.3 Total expense ratio &amp; waivers</w:t>
            </w:r>
          </w:p>
        </w:tc>
        <w:tc>
          <w:tcPr>
            <w:tcW w:type="dxa" w:w="3600"/>
          </w:tcPr>
          <w:p>
            <w:r>
              <w:t>7.00% net expense ratio</w:t>
            </w:r>
          </w:p>
        </w:tc>
        <w:tc>
          <w:tcPr>
            <w:tcW w:type="dxa" w:w="2880"/>
          </w:tcPr>
          <w:p>
            <w:r>
              <w:t>extracted-unverified</w:t>
            </w:r>
          </w:p>
        </w:tc>
      </w:tr>
      <w:tr>
        <w:tc>
          <w:tcPr>
            <w:tcW w:type="dxa" w:w="2880"/>
          </w:tcPr>
          <w:p>
            <w:r>
              <w:t>2.4 AFFE</w:t>
            </w:r>
          </w:p>
        </w:tc>
        <w:tc>
          <w:tcPr>
            <w:tcW w:type="dxa" w:w="3600"/>
          </w:tcPr>
          <w:p>
            <w:r>
              <w:t>AFFE 0.02%</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(private_credit, R4 phrasing): mgmt fee: 50th percentile of cohort (n=5), at the median of 1.25 | expense ratio (bases differ, see notes): 70th percentile of cohort (n=5), above the median of 3.76 | repurchase cap: 50th percentile of cohort (n=5), at the median of 5. Stats and per-member values in data/cohorts/private_credit.json, membership rationales in data/facts.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26, verified 0, computed 9, partial 4,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