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Blackstone Real Estate Income Trust Inc (non-traded REIT ('34 Act reporting), CIK 1662972)</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Benchmark: Listed REIT investable proxy (VNQ) at 9/12, KS-PME 0.9064, Direct Alpha -3.22%/yr over 2022-12-31 to 2025-12-31.</w:t>
      </w:r>
    </w:p>
    <w:p>
      <w:r>
        <w:t>Flags raised by the record (each restates a typed value or verdict, with its source):</w:t>
      </w:r>
    </w:p>
    <w:p>
      <w:pPr>
        <w:pStyle w:val="ListBullet"/>
      </w:pPr>
      <w:r>
        <w:t>Liquidity: gating precedent, repurchases prorated under stress (cell 3.3)</w:t>
      </w:r>
    </w:p>
    <w:p>
      <w:r>
        <w:t>Evidence coverage: 42 of 42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KS-PME 0.9064, Direct Alpha -3.22%/yr, 2022-12-31 to 2025-12-31</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selected</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cohort composite: nontraded_reit without breit (jll_ipt, sreit)</w:t>
            </w:r>
          </w:p>
        </w:tc>
        <w:tc>
          <w:tcPr>
            <w:tcW w:type="dxa" w:w="864"/>
          </w:tcPr>
          <w:p>
            <w:r>
              <w:t>4/12</w:t>
            </w:r>
          </w:p>
        </w:tc>
        <w:tc>
          <w:tcPr>
            <w:tcW w:type="dxa" w:w="3888"/>
          </w:tcPr>
          <w:p>
            <w:r>
              <w:t>score 4/12 below primary threshold 7</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12x/year.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2%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24%.</w:t>
      </w:r>
    </w:p>
    <w:p>
      <w:r>
        <w:t>Stressed (tail turnover x2, active turnover x1.5 vs base scenario): demand $5.4M/yr = 19.2% of the position. within wrapper capacity (19.2% vs 24%) IF offers are not prorated, but this issuer HAS prorated under stress (3.3).</w:t>
      </w:r>
    </w:p>
    <w:p>
      <w:r>
        <w:t>Scenario verdict (ILLUSTRATIVE, this plan): CONDITIONAL.</w:t>
      </w:r>
    </w:p>
    <w:p>
      <w:pPr>
        <w:pStyle w:val="ListBullet"/>
      </w:pPr>
      <w:r>
        <w:t>Capacity: 12x per year at 2% of aggregate nav: at most 24% of the position per year. This is a FUND-level cap shared by every holder, so the plan's position is served only while offers are not oversubscribed.</w:t>
      </w:r>
    </w:p>
    <w:p>
      <w:pPr>
        <w:pStyle w:val="ListBullet"/>
      </w:pPr>
      <w:r>
        <w:t>Scenario demand (illustrative): 10.4% of the position per year vs 24%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partial</w:t>
            </w:r>
          </w:p>
        </w:tc>
        <w:tc>
          <w:tcPr>
            <w:tcW w:type="dxa" w:w="2880"/>
          </w:tcPr>
          <w:p>
            <w:r>
              <w:t>partial</w:t>
            </w:r>
          </w:p>
        </w:tc>
      </w:tr>
      <w:tr>
        <w:tc>
          <w:tcPr>
            <w:tcW w:type="dxa" w:w="2880"/>
          </w:tcPr>
          <w:p>
            <w:r>
              <w:t>2.3 Total expense ratio &amp; waivers</w:t>
            </w:r>
          </w:p>
        </w:tc>
        <w:tc>
          <w:tcPr>
            <w:tcW w:type="dxa" w:w="3600"/>
          </w:tcPr>
          <w:p>
            <w:r>
              <w:t>n/a</w:t>
            </w:r>
          </w:p>
        </w:tc>
        <w:tc>
          <w:tcPr>
            <w:tcW w:type="dxa" w:w="2880"/>
          </w:tcPr>
          <w:p>
            <w:r>
              <w:t>n/a - not publicly available: no TER disclosure exists for a '34-Act REIT (10-K prints no expense ratio - zero hits in FY2025 10-K and Q2 2026 10-Q); fee burden components extracted in 2.1/2.2/2.6</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Non-traded NAV REITs (n=3). Non-traded monthly-NAV REIT with 2%/5% repurchase plan - the cohort's reference member.</w:t>
      </w:r>
    </w:p>
    <w:p>
      <w:r>
        <w:t>Cohort placement (nontraded_reit, R4 phrasing): mgmt fee: at the cohort median of 1.25 (n=3, too small for percentile language) | expense ratio (bases differ, see notes): fact unavailable for this member | repurchase cap: at the cohort median of 2 (n=3, too small for percentile language). Stats and per-member values in data/cohorts/nontraded_reit.json, membership rationales in data/facts.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20, verified 0, computed 13, partial 8,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