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dxyz (arkvx, ssss)</w:t>
            </w:r>
          </w:p>
        </w:tc>
        <w:tc>
          <w:tcPr>
            <w:tcW w:type="dxa" w:w="864"/>
          </w:tcPr>
          <w:p>
            <w:r>
              <w:t>4/12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3/12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listed_cef</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not applicable (exchange-traded).</w:t>
      </w:r>
    </w:p>
    <w:p>
      <w:r>
        <w:t>Stressed (tail turnover x2, active turnover x1.5 vs base scenario): demand $5.4M/yr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net expense ratio</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no early-repurchase fee (exchange-traded)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(venture, R4 phrasing): mgmt fee: at the cohort median of 2.5 (n=3, too small for percentile language) | expense ratio (bases differ, see notes): at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24, verified 0, computed 13,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