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KKR Private Equity Conglomerate LLC (non-traded '34 Act reporting company, CIK 1957845)</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Listed private equity investable proxy (PSP) at 9/12, KS-PME 0.8964, Direct Alpha -4.58%/yr over 2023-09-01 to 2025-12-31.</w:t>
      </w:r>
    </w:p>
    <w:p>
      <w:r>
        <w:t>Flags raised by the record (each restates a typed value or verdict, with its source):</w:t>
      </w:r>
    </w:p>
    <w:p>
      <w:pPr>
        <w:pStyle w:val="ListBullet"/>
      </w:pPr>
      <w:r>
        <w:t>Benchmark: low confidence: 2.33-year window, shorter than 3 years (benchmark comparison)</w:t>
      </w:r>
    </w:p>
    <w:p>
      <w:pPr>
        <w:pStyle w:val="ListBullet"/>
      </w:pPr>
      <w:r>
        <w:t>Tax reporting: Schedule K-1 (cell 6.4)</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Listed private equity investable proxy (PSP)</w:t>
            </w:r>
          </w:p>
        </w:tc>
        <w:tc>
          <w:tcPr>
            <w:tcW w:type="dxa" w:w="864"/>
          </w:tcPr>
          <w:p>
            <w:r>
              <w:t>9/12</w:t>
            </w:r>
          </w:p>
        </w:tc>
        <w:tc>
          <w:tcPr>
            <w:tcW w:type="dxa" w:w="3888"/>
          </w:tcPr>
          <w:p>
            <w:r>
              <w:t>KS-PME 0.8964, Direct Alpha -4.58%/yr, 2023-09-01 to 2025-12-31</w:t>
            </w:r>
          </w:p>
        </w:tc>
      </w:tr>
      <w:tr>
        <w:tc>
          <w:tcPr>
            <w:tcW w:type="dxa" w:w="1152"/>
          </w:tcPr>
          <w:p>
            <w:r>
              <w:t>secondary</w:t>
            </w:r>
          </w:p>
        </w:tc>
        <w:tc>
          <w:tcPr>
            <w:tcW w:type="dxa" w:w="3456"/>
          </w:tcPr>
          <w:p>
            <w:r>
              <w:t>Peer cohort composite: evergreen_pe without kkr_kpec (amg_pantheon, ares_pmf, hl_paf, stepstone_spm)</w:t>
            </w:r>
          </w:p>
        </w:tc>
        <w:tc>
          <w:tcPr>
            <w:tcW w:type="dxa" w:w="864"/>
          </w:tcPr>
          <w:p>
            <w:r>
              <w:t>8/12</w:t>
            </w:r>
          </w:p>
        </w:tc>
        <w:tc>
          <w:tcPr>
            <w:tcW w:type="dxa" w:w="3888"/>
          </w:tcPr>
          <w:p>
            <w:r>
              <w:t>KS-PME 1.0059, Direct Alpha 0.29%/yr, FY2024 to FY2025</w:t>
            </w:r>
          </w:p>
        </w:tc>
      </w:tr>
      <w:tr>
        <w:tc>
          <w:tcPr>
            <w:tcW w:type="dxa" w:w="1152"/>
          </w:tcPr>
          <w:p>
            <w:r>
              <w:t>rejected</w:t>
            </w:r>
          </w:p>
        </w:tc>
        <w:tc>
          <w:tcPr>
            <w:tcW w:type="dxa" w:w="3456"/>
          </w:tcPr>
          <w:p>
            <w:r>
              <w:t>MSCI World investable proxy (URTH)</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Cambridge Associates US PE benchmark</w:t>
            </w:r>
          </w:p>
        </w:tc>
        <w:tc>
          <w:tcPr>
            <w:tcW w:type="dxa" w:w="864"/>
          </w:tcPr>
          <w:p>
            <w:r>
              <w:t>7/12</w:t>
            </w:r>
          </w:p>
        </w:tc>
        <w:tc>
          <w:tcPr>
            <w:tcW w:type="dxa" w:w="3888"/>
          </w:tcPr>
          <w:p>
            <w:r>
              <w:t>outranked: score 7/12 vs primary 9/12 and secondary 8/12 (only two slots). Retained in log as viable alternate</w:t>
            </w:r>
          </w:p>
        </w:tc>
      </w:tr>
    </w:tbl>
    <w:p>
      <w:pPr>
        <w:pStyle w:val="Heading1"/>
      </w:pPr>
      <w:r>
        <w:t>Exhibit B.</w:t>
      </w:r>
    </w:p>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Early repurchase economics: 5% if held &lt; 24 months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nontraded_llc</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aggregate nav</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5% if held &lt; 24 months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4x per year at 5% of aggregate nav: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15% / 5% hurdle</w:t>
            </w:r>
          </w:p>
        </w:tc>
        <w:tc>
          <w:tcPr>
            <w:tcW w:type="dxa" w:w="2880"/>
          </w:tcPr>
          <w:p>
            <w:r>
              <w:t>extracted-unverified</w:t>
            </w:r>
          </w:p>
        </w:tc>
      </w:tr>
      <w:tr>
        <w:tc>
          <w:tcPr>
            <w:tcW w:type="dxa" w:w="2880"/>
          </w:tcPr>
          <w:p>
            <w:r>
              <w:t>2.3 Total expense ratio &amp; waivers</w:t>
            </w:r>
          </w:p>
        </w:tc>
        <w:tc>
          <w:tcPr>
            <w:tcW w:type="dxa" w:w="3600"/>
          </w:tcPr>
          <w:p>
            <w:r>
              <w:t>partial</w:t>
            </w:r>
          </w:p>
        </w:tc>
        <w:tc>
          <w:tcPr>
            <w:tcW w:type="dxa" w:w="2880"/>
          </w:tcPr>
          <w:p>
            <w:r>
              <w:t>partial</w:t>
            </w:r>
          </w:p>
        </w:tc>
      </w:tr>
      <w:tr>
        <w:tc>
          <w:tcPr>
            <w:tcW w:type="dxa" w:w="2880"/>
          </w:tcPr>
          <w:p>
            <w:r>
              <w:t>2.4 AFFE</w:t>
            </w:r>
          </w:p>
        </w:tc>
        <w:tc>
          <w:tcPr>
            <w:tcW w:type="dxa" w:w="3600"/>
          </w:tcPr>
          <w:p>
            <w:r>
              <w:t>partial</w:t>
            </w:r>
          </w:p>
        </w:tc>
        <w:tc>
          <w:tcPr>
            <w:tcW w:type="dxa" w:w="2880"/>
          </w:tcPr>
          <w:p>
            <w:r>
              <w:t>partial</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5% &lt; 24 months</w:t>
            </w:r>
          </w:p>
        </w:tc>
        <w:tc>
          <w:tcPr>
            <w:tcW w:type="dxa" w:w="2880"/>
          </w:tcPr>
          <w:p>
            <w:r>
              <w:t>extracted-unverified</w:t>
            </w:r>
          </w:p>
        </w:tc>
      </w:tr>
      <w:tr>
        <w:tc>
          <w:tcPr>
            <w:tcW w:type="dxa" w:w="2880"/>
          </w:tcPr>
          <w:p>
            <w:r>
              <w:t>6.4 Tax reporting (1099 vs K-1)</w:t>
            </w:r>
          </w:p>
        </w:tc>
        <w:tc>
          <w:tcPr>
            <w:tcW w:type="dxa" w:w="3600"/>
          </w:tcPr>
          <w:p>
            <w:r>
              <w:t>Schedule K-1</w:t>
            </w:r>
          </w:p>
        </w:tc>
        <w:tc>
          <w:tcPr>
            <w:tcW w:type="dxa" w:w="2880"/>
          </w:tcPr>
          <w:p>
            <w:r>
              <w:t>extracted-unverified</w:t>
            </w:r>
          </w:p>
        </w:tc>
      </w:tr>
    </w:tbl>
    <w:p>
      <w:pPr>
        <w:pStyle w:val="Heading1"/>
      </w:pPr>
      <w:r>
        <w:t>Exhibit D. Peer cohort placement</w:t>
      </w:r>
    </w:p>
    <w:p>
      <w:r>
        <w:t>Cohort Evergreen private equity ('40-Act funds + '34-Act conglomerate) (n=5). '34-Act conglomerate of controlled PE businesses. Joins under the authorized fallback (its Reg D twins have no public filings). Cross-wrapper caveats carried by the cohort caveat block.</w:t>
      </w:r>
    </w:p>
    <w:p>
      <w:r>
        <w:t>Cohort placement (evergreen_pe, R4 phrasing): mgmt fee: 30th percentile of cohort (n=5), below the median of 1.4 | expense ratio (bases differ, see notes): 50th percentile of cohort (n=5), at the median of 3.19 | repurchase cap: 50th percentile of cohort (n=5), at the median of 5. Stats and per-member values in data/cohorts/evergreen_pe.json, membership rationales in data/facts.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26, verified 0, computed 9, partial 4,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