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KKR Private Equity Conglomerate LLC (non-traded '34 Act reporting company, CIK 1957845)</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1.3 3.19% expense ratio, GAAP financial-highlights total operating expenses FY2025 Class I. 1.8 KS-PME 0.90, Direct Alpha -4.58%/yr. 1.11 inception 2023-08-01, 2.4 years.</w:t>
            </w:r>
          </w:p>
          <w:p>
            <w:r>
              <w:t>1.1 Net total return series (extracted-unverified): Annual NAV per share, Class I (Note 10.</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KS-PME 0.8964 and Direct Alpha -4.58%/yr vs Listed private equity investable proxy (PSP) over 2023-09-01 to 2025-12-31 (series comparison).</w:t>
            </w:r>
          </w:p>
          <w:p>
            <w:r>
              <w:t>1.11 Track record &amp; manager tenure (extracted-unverified): Company formed / initially capitalized December 6, 2022; Form 10 registration statement automatically effective June 13, 2023; commenced principal operations August 1, 2023.</w:t>
            </w:r>
          </w:p>
          <w:p>
            <w:r>
              <w:t>Not applicable: 1.5 no underlying JV/deal-level performance is printed -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 stress-window performance cannot exist for this vehicle. 1.10 not exchange-listed.</w:t>
            </w:r>
          </w:p>
        </w:tc>
      </w:tr>
      <w:tr>
        <w:tc>
          <w:tcPr>
            <w:tcW w:type="dxa" w:w="1728"/>
          </w:tcPr>
          <w:p>
            <w:r>
              <w:t>2. Fees (h)</w:t>
            </w:r>
          </w:p>
        </w:tc>
        <w:tc>
          <w:tcPr>
            <w:tcW w:type="dxa" w:w="7632"/>
          </w:tcPr>
          <w:p>
            <w:r>
              <w:t>Typed facts: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 expiry is itself an evaluative datum.</w:t>
            </w:r>
          </w:p>
          <w:p>
            <w:r>
              <w:t>2.4 AFFE (partial): PARTIAL: No 'Acquired Fund Fees and Expenses' line exists —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(evergreen_pe, R4 phrasing):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aggregate NAV. 3.3 no gating identified in the filings on record. 3.9 verdict varies by plan: conditional, conditional-weak.</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 Share Repurchases): 247,476 Class R-I @ $31.84 avg; 576,591 Class R-U @ $30.97; 12,620 Class U @ $31.77; 12,369 Class I @ $32.64; 819 Class D @ $32.57; 20,516 Class R-D @ $32.57.</w:t>
            </w:r>
          </w:p>
          <w:p>
            <w:r>
              <w:t>3.4 Portfolio liquidity profile (extracted-unverified): As of 12/31/2025 ($ thousands): fair value hierarchy —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'The Manager determines the NAV of our Shares monthly' (Manager = KKR DAV Manager LLC).</w:t>
            </w:r>
          </w:p>
          <w:p>
            <w:r>
              <w:t>4.2 Fair-value hierarchy (L1/2/3) (extracted-unverified): Fair value hierarchy at 12/31/2025 ($ thousands, Note 4): Portfolio companies - Level I $23,278 / Level II $0 / Level III $8,980,760 / NAV practical expedient $5,411 = $9,009,449 total; FX-forward unrealized appreciation - Level II $27,607; FX-forward unrealized depreciation - Level II $(5,177); Money market funds -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 10-K (FY2025, filed 2026-03-26) and 10-Q (Q1 2026, filed 2026-05-13) —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psp_k selected, 9/12.</w:t>
            </w:r>
          </w:p>
          <w:p>
            <w:r>
              <w:t>5.1 Self-declared benchmark (extracted-unverified): DOCUMENTED ABSENCE: the Company self-declares NO performance benchmark anywhere in the FY2025 10-K.</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Listed private equity investable proxy (PSP)): window 2023-09-01 to 2025-12-31 (series comparison).</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 the word 'exemptive' has zero hits) and so it qualifies as a partnership for U.S.</w:t>
            </w:r>
          </w:p>
          <w:p>
            <w:r>
              <w:t>6.2 Strategy &amp; instrument complexity (extracted-unverified): Strategy: private equity conglomerate —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private equity investable proxy (PSP) (score 9/12)</w:t>
      </w:r>
    </w:p>
    <w:p>
      <w:r>
        <w:t>Window 2023-09-01 to 2025-12-31: fund 12.94%/yr vs benchmark 18.36%/yr, KS-PME 0.8964, Direct Alpha -4.58%/yr. Disclosure: PME and alpha computed on appraisal-lagged NAVs are window-sensitive and can be smoothing-flattered. Conclusions should be read with the methodology's window-sensitivity analysis. Low confidence: 2.33-year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pe conglomerate)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Secondary: Peer cohort composite: evergreen_pe without kkr_kpec (amg_pantheon, ares_pmf, hl_paf, stepstone_spm) (score 8/12)</w:t>
      </w:r>
    </w:p>
    <w:p>
      <w:r>
        <w:t>Window FY2024 to FY2025 (2 overlapping fiscal year(s) of 5 composite years): fund 13.95%/yr vs benchmark 13.61%/yr, KS-PME 1.0059, Direct Alpha 0.29%/yr. Disclosure: PME and alpha computed on appraisal-lagged NAVs are window-sensitive and can be smoothing-flattered. Conclusions should be read with the methodology's window-sensitivity analysis. Low confidence: 2-fiscal-year window, shorter than 3 years.</w:t>
      </w:r>
    </w:p>
    <w:p>
      <w:r>
        <w:t>Two-point comparison: one contribution at the window start and one valuation at the end. Direct Alpha is the annualized form of the same two flows.</w:t>
      </w:r>
    </w:p>
    <w:p>
      <w:pPr>
        <w:pStyle w:val="ListBullet"/>
      </w:pPr>
      <w:r>
        <w:t>strategy_match 2/3: same asset class, different sub-strategy (evergreen pe vs pe conglomerate)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0/2: annual composite with only 2 overlapping fiscal year(s), fewer than 3</w:t>
      </w:r>
    </w:p>
    <w:p>
      <w:pPr>
        <w:pStyle w:val="ListBullet"/>
      </w:pPr>
      <w:r>
        <w:t>provider_independence 2/2: provider unaffiliated with the fund (constructed (Tark cohort engine, leave-one-out))</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8/12 (only two slots). Retained in log as viable alternate</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nontraded_llc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aggregate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aggregate nav: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(evergreen_pe, R4 phrasing): mgmt fee: 30th percentile of cohort (n=5), below the median of 1.4 | expense ratio (bases differ, see notes): 50th percentile of cohort (n=5), at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t>
      </w:r>
    </w:p>
    <w:p>
      <w:r>
        <w:t>Benchmark: Listed private equity investable proxy (PSP) selected as primary at 9/12, secondary Peer cohort composite: evergreen_pe without kkr_kpec (amg_pantheon, ares_pmf, hl_paf, stepstone_spm) at 8/12.</w:t>
      </w:r>
    </w:p>
    <w:p>
      <w:r>
        <w:t>Flags raised by the record (each restates a typed value or verdict already in the artifacts, with its source):</w:t>
      </w:r>
    </w:p>
    <w:p>
      <w:pPr>
        <w:pStyle w:val="ListBullet"/>
      </w:pPr>
      <w:r>
        <w:t>Benchmark: low confidence: 2.33-year window, shorter than 3 years (benchmark comparison)</w:t>
      </w:r>
    </w:p>
    <w:p>
      <w:pPr>
        <w:pStyle w:val="ListBullet"/>
      </w:pPr>
      <w:r>
        <w:t>Tax reporting: Schedule K-1 (cell 6.4)</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9, partial 4,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1.3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1.8</w:t>
            </w:r>
          </w:p>
        </w:tc>
        <w:tc>
          <w:tcPr>
            <w:tcW w:type="dxa" w:w="3456"/>
          </w:tcPr>
          <w:p>
            <w:r>
              <w:t>data/benchmarks/kkr_kpec_selection.json</w:t>
            </w:r>
          </w:p>
        </w:tc>
        <w:tc>
          <w:tcPr>
            <w:tcW w:type="dxa" w:w="5184"/>
          </w:tcPr>
          <w:p>
            <w:r>
              <w:t>accession not on record: no filing reference in the source field</w:t>
            </w:r>
          </w:p>
        </w:tc>
      </w:tr>
      <w:tr>
        <w:tc>
          <w:tcPr>
            <w:tcW w:type="dxa" w:w="720"/>
          </w:tcPr>
          <w:p>
            <w:r>
              <w:t>1.11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2.3</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2.5</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2.7</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3.2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data/liquidity/plan_consulting_alumni__kkr_kpec_match.json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data/liquidity/plan_consulting_alumni__kkr_kpec_match.json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4.5</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4.6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5.3</w:t>
            </w:r>
          </w:p>
        </w:tc>
        <w:tc>
          <w:tcPr>
            <w:tcW w:type="dxa" w:w="3456"/>
          </w:tcPr>
          <w:p>
            <w:r>
              <w:t>data/benchmarks/kkr_kpec_selection.json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data/benchmarks/kkr_kpec_selection.json</w:t>
            </w:r>
          </w:p>
        </w:tc>
        <w:tc>
          <w:tcPr>
            <w:tcW w:type="dxa" w:w="5184"/>
          </w:tcPr>
          <w:p>
            <w:r>
              <w:t>accession not on record: no filing reference in the source field</w:t>
            </w:r>
          </w:p>
        </w:tc>
      </w:tr>
      <w:tr>
        <w:tc>
          <w:tcPr>
            <w:tcW w:type="dxa" w:w="720"/>
          </w:tcPr>
          <w:p>
            <w:r>
              <w:t>5.6</w:t>
            </w:r>
          </w:p>
        </w:tc>
        <w:tc>
          <w:tcPr>
            <w:tcW w:type="dxa" w:w="3456"/>
          </w:tcPr>
          <w:p>
            <w:r>
              <w:t>data/benchmarks/kkr_kpec_selection.json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6.4</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6.5</w:t>
            </w:r>
          </w:p>
        </w:tc>
        <w:tc>
          <w:tcPr>
            <w:tcW w:type="dxa" w:w="3456"/>
          </w:tcPr>
          <w:p>
            <w:r>
              <w:t>Form 10-K (FY2025), filed 2026-03-26</w:t>
            </w:r>
          </w:p>
        </w:tc>
        <w:tc>
          <w:tcPr>
            <w:tcW w:type="dxa" w:w="5184"/>
          </w:tcPr>
          <w:p>
            <w:r>
              <w:t>10-K 2026-03-26 accession 0001957845-26-000029 https://www.sec.gov/Archives/edgar/data/1957845/000195784526000029/kkr-20251231.htm</w:t>
            </w:r>
          </w:p>
        </w:tc>
      </w:tr>
    </w:tbl>
    <w:p>
      <w:r>
        <w:t>Data sources: SEC EDGAR filings (2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