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media/technology company 401(k) plan (~$570M, New York)</w:t>
        <w:br/>
      </w:r>
      <w:r>
        <w:t>Product: Blue Owl Credit Income Corp. (perpetual-life non-traded BDC (quarterly 13e-4 tenders), CIK 1812554)</w:t>
        <w:br/>
      </w:r>
      <w:r>
        <w:t>Record as of 2026-09-04. DRAFT, generated by the build from the record. The decision memo for the same plan and product is a separate document.</w:t>
      </w:r>
    </w:p>
    <w:p>
      <w:pPr>
        <w:pStyle w:val="Heading1"/>
      </w:pPr>
      <w:r>
        <w:t>Summary</w:t>
      </w:r>
    </w:p>
    <w:p>
      <w:r>
        <w:t>Structural liquidity verdict: PARTIAL (typed facts, plan-independent). Scenario verdict under this plan (ILLUSTRATIVE, default sliders): CONDITIONAL.</w:t>
      </w:r>
    </w:p>
    <w:p>
      <w:r>
        <w:t>Benchmark: Peer cohort composite: private_credit without ocic (bcred, cion_ares, cliffwater_cclfx, pflex) at 10/12, KS-PME 0.9973, Direct Alpha -0.05%/yr over FY2021 to FY2025.</w:t>
      </w:r>
    </w:p>
    <w:p>
      <w:r>
        <w:t>Flags raised by the record (each restates a typed value or verdict, with its source):</w:t>
      </w:r>
    </w:p>
    <w:p>
      <w:pPr>
        <w:pStyle w:val="ListBullet"/>
      </w:pPr>
      <w:r>
        <w:t>Liquidity: structural verdict partial, facts missing: gate_history (cells 3.1, 3.3)</w:t>
      </w:r>
    </w:p>
    <w:p>
      <w:r>
        <w:t>Evidence coverage: 44 of 44 resolvable, 0 verified, 10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Rubric v2, threshold 7 of 12, strategy gate. Max attainable on held data 10/12.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cohort composite: private_credit without ocic (bcred, cion_ares, cliffwater_cclfx, pflex)</w:t>
            </w:r>
          </w:p>
        </w:tc>
        <w:tc>
          <w:tcPr>
            <w:tcW w:type="dxa" w:w="864"/>
          </w:tcPr>
          <w:p>
            <w:r>
              <w:t>10/12</w:t>
            </w:r>
          </w:p>
        </w:tc>
        <w:tc>
          <w:tcPr>
            <w:tcW w:type="dxa" w:w="3888"/>
          </w:tcPr>
          <w:p>
            <w:r>
              <w:t>KS-PME 0.9973, Direct Alpha -0.05%/yr, FY2021 to FY2025</w:t>
            </w:r>
          </w:p>
        </w:tc>
      </w:tr>
      <w:tr>
        <w:tc>
          <w:tcPr>
            <w:tcW w:type="dxa" w:w="1152"/>
          </w:tcPr>
          <w:p>
            <w:r>
              <w:t>secondary</w:t>
            </w:r>
          </w:p>
        </w:tc>
        <w:tc>
          <w:tcPr>
            <w:tcW w:type="dxa" w:w="3456"/>
          </w:tcPr>
          <w:p>
            <w:r>
              <w:t>Senior loan investable proxy (BKLN, for Morningstar LSTA class)</w:t>
            </w:r>
          </w:p>
        </w:tc>
        <w:tc>
          <w:tcPr>
            <w:tcW w:type="dxa" w:w="864"/>
          </w:tcPr>
          <w:p>
            <w:r>
              <w:t>9/12</w:t>
            </w:r>
          </w:p>
        </w:tc>
        <w:tc>
          <w:tcPr>
            <w:tcW w:type="dxa" w:w="3888"/>
          </w:tcPr>
          <w:p>
            <w:r>
              <w:t>KS-PME 1.1541, Direct Alpha 2.91%/yr, 2021-01-01 to 2025-12-31</w:t>
            </w:r>
          </w:p>
        </w:tc>
      </w:tr>
      <w:tr>
        <w:tc>
          <w:tcPr>
            <w:tcW w:type="dxa" w:w="1152"/>
          </w:tcPr>
          <w:p>
            <w:r>
              <w:t>rejected</w:t>
            </w:r>
          </w:p>
        </w:tc>
        <w:tc>
          <w:tcPr>
            <w:tcW w:type="dxa" w:w="3456"/>
          </w:tcPr>
          <w:p>
            <w:r>
              <w:t>Cliffwater Direct Lending Index (CDLI)</w:t>
            </w:r>
          </w:p>
        </w:tc>
        <w:tc>
          <w:tcPr>
            <w:tcW w:type="dxa" w:w="864"/>
          </w:tcPr>
          <w:p>
            <w:r>
              <w:t>7/12</w:t>
            </w:r>
          </w:p>
        </w:tc>
        <w:tc>
          <w:tcPr>
            <w:tcW w:type="dxa" w:w="3888"/>
          </w:tcPr>
          <w:p>
            <w:r>
              <w:t>outranked: score 7/12 vs primary 10/12 and secondary 9/12 (only two slots). Retained in log as viable alternate</w:t>
            </w:r>
          </w:p>
        </w:tc>
      </w:tr>
    </w:tbl>
    <w:p>
      <w:pPr>
        <w:pStyle w:val="Heading1"/>
      </w:pPr>
      <w:r>
        <w:t>Exhibit B.</w:t>
      </w:r>
    </w:p>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p>
      <w:pPr>
        <w:pStyle w:val="ListBullet"/>
      </w:pPr>
      <w:r>
        <w:t>Facts missing for a structural verdict: gate_history (12 consecutive quarterly tenders completed FY2023-FY2025 with no disclosed suspension, BUT tendered-vs-repurchased counts are never disclosed - proration cannot be ruled out from public filings, so a clean False would overclaim). The verdict stays partial until they are typed from the filings.</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nontraded_bdc</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outstanding shares</w:t>
            </w:r>
          </w:p>
        </w:tc>
        <w:tc>
          <w:tcPr>
            <w:tcW w:type="dxa" w:w="1152"/>
          </w:tcPr>
          <w:p>
            <w:r>
              <w:t>3.1</w:t>
            </w:r>
          </w:p>
        </w:tc>
      </w:tr>
      <w:tr>
        <w:tc>
          <w:tcPr>
            <w:tcW w:type="dxa" w:w="2448"/>
          </w:tcPr>
          <w:p>
            <w:r>
              <w:t>Gating history</w:t>
            </w:r>
          </w:p>
        </w:tc>
        <w:tc>
          <w:tcPr>
            <w:tcW w:type="dxa" w:w="5760"/>
          </w:tcPr>
          <w:p>
            <w:r>
              <w:t>not typed: 12 consecutive quarterly tenders completed FY2023-FY2025 with no disclosed suspension, BUT tendered-vs-repurchased counts are never disclosed - proration cannot be ruled out from public filings, so a clean False would overclaim</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20%.</w:t>
      </w:r>
    </w:p>
    <w:p>
      <w:r>
        <w:t>Stressed (tail turnover x2, active turnover x1.5 vs base scenario): demand $5.4M/yr = 19.2% of the position. within wrapper capacity (19.2% vs 20%) IF offers are not prorated.</w:t>
      </w:r>
    </w:p>
    <w:p>
      <w:r>
        <w:t>Scenario verdict (ILLUSTRATIVE, this plan): CONDITIONAL.</w:t>
      </w:r>
    </w:p>
    <w:p>
      <w:pPr>
        <w:pStyle w:val="ListBullet"/>
      </w:pPr>
      <w:r>
        <w:t>Capacity: 4x per year at 5% of outstanding shares: at most 20% of the position per year. This is a FUND-level cap shared by every holder, so the plan's position is served only while offers are not oversubscribed.</w:t>
      </w:r>
    </w:p>
    <w:p>
      <w:pPr>
        <w:pStyle w:val="ListBullet"/>
      </w:pPr>
      <w:r>
        <w:t>Scenario demand (illustrative): 10.4%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plan_tech_media.json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net assets</w:t>
            </w:r>
          </w:p>
        </w:tc>
        <w:tc>
          <w:tcPr>
            <w:tcW w:type="dxa" w:w="2880"/>
          </w:tcPr>
          <w:p>
            <w:r>
              <w:t>extracted-unverified</w:t>
            </w:r>
          </w:p>
        </w:tc>
      </w:tr>
      <w:tr>
        <w:tc>
          <w:tcPr>
            <w:tcW w:type="dxa" w:w="2880"/>
          </w:tcPr>
          <w:p>
            <w:r>
              <w:t>2.2 Incentive fee terms</w:t>
            </w:r>
          </w:p>
        </w:tc>
        <w:tc>
          <w:tcPr>
            <w:tcW w:type="dxa" w:w="3600"/>
          </w:tcPr>
          <w:p>
            <w:r>
              <w:t>incentive fee: 12.5% / 5% hurdle</w:t>
            </w:r>
          </w:p>
        </w:tc>
        <w:tc>
          <w:tcPr>
            <w:tcW w:type="dxa" w:w="2880"/>
          </w:tcPr>
          <w:p>
            <w:r>
              <w:t>extracted-unverified</w:t>
            </w:r>
          </w:p>
        </w:tc>
      </w:tr>
      <w:tr>
        <w:tc>
          <w:tcPr>
            <w:tcW w:type="dxa" w:w="2880"/>
          </w:tcPr>
          <w:p>
            <w:r>
              <w:t>2.3 Total expense ratio &amp; waivers</w:t>
            </w:r>
          </w:p>
        </w:tc>
        <w:tc>
          <w:tcPr>
            <w:tcW w:type="dxa" w:w="3600"/>
          </w:tcPr>
          <w:p>
            <w:r>
              <w:t>8.40% net expense ratio</w:t>
            </w:r>
          </w:p>
        </w:tc>
        <w:tc>
          <w:tcPr>
            <w:tcW w:type="dxa" w:w="2880"/>
          </w:tcPr>
          <w:p>
            <w:r>
              <w:t>extracted-unverified</w:t>
            </w:r>
          </w:p>
        </w:tc>
      </w:tr>
      <w:tr>
        <w:tc>
          <w:tcPr>
            <w:tcW w:type="dxa" w:w="2880"/>
          </w:tcPr>
          <w:p>
            <w:r>
              <w:t>2.4 AFFE</w:t>
            </w:r>
          </w:p>
        </w:tc>
        <w:tc>
          <w:tcPr>
            <w:tcW w:type="dxa" w:w="3600"/>
          </w:tcPr>
          <w:p>
            <w:r>
              <w:t>AFFE 0.00%</w:t>
            </w:r>
          </w:p>
        </w:tc>
        <w:tc>
          <w:tcPr>
            <w:tcW w:type="dxa" w:w="2880"/>
          </w:tcPr>
          <w:p>
            <w:r>
              <w:t>extracted-unverified</w:t>
            </w:r>
          </w:p>
        </w:tc>
      </w:tr>
      <w:tr>
        <w:tc>
          <w:tcPr>
            <w:tcW w:type="dxa" w:w="2880"/>
          </w:tcPr>
          <w:p>
            <w:r>
              <w:t>2.6 Loads &amp; servicing fees</w:t>
            </w:r>
          </w:p>
        </w:tc>
        <w:tc>
          <w:tcPr>
            <w:tcW w:type="dxa" w:w="3600"/>
          </w:tcPr>
          <w:p>
            <w:r>
              <w:t>extracted</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Private credit (interval fund + non-traded BDC) (n=5). Perpetual non-traded BDC running quarterly 13e-4 tenders, bcred's closest structural twin. Admitted via the census promotion pipeline (46 SC TO-I filings as T1 cadence evidence, Owl Rock -&gt; Blue Owl rename verified in the SEC record).</w:t>
      </w:r>
    </w:p>
    <w:p>
      <w:r>
        <w:t>Cohort placement (private_credit, R4 phrasing): mgmt fee: 50th percentile of cohort (n=5), at the median of 1.25 | expense ratio (bases differ, see notes): 90th percentile of cohort (n=5), above the median of 3.76 | repurchase cap: 50th percentile of cohort (n=5), at the median of 5. Stats and per-member values in data/cohorts/private_credit.json, membership rationales in data/facts.</w:t>
      </w:r>
    </w:p>
    <w:p>
      <w:pPr>
        <w:pStyle w:val="ListBullet"/>
      </w:pPr>
      <w:r>
        <w:t>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w:t>
      </w:r>
    </w:p>
    <w:p>
      <w:pPr>
        <w:pStyle w:val="Heading1"/>
      </w:pPr>
      <w:r>
        <w:t>Provenance</w:t>
      </w:r>
    </w:p>
    <w:p>
      <w:r>
        <w:t>Cell status for this product: structured 0, extracted-unverified 26, verified 0, computed 8, partial 9, fetched 1, n/a 10,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Sponsor name NEVER appears on demo surfaces. Data is public (DOL Form 5500 FOIA files); anonymization is a project display rule, not a legal requirement.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