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Benchmark: Peer cohort composite: private_credit without pflex (bcred, cion_ares, cliffwater_cclfx, ocic) at 9/12, KS-PME 0.9799, Direct Alpha -0.41%/yr over FY2021 to FY2025.</w:t>
      </w:r>
    </w:p>
    <w:p>
      <w:r>
        <w:t>Flags raised by the record (each restates a typed value or verdict, with its source):</w:t>
      </w:r>
    </w:p>
    <w:p>
      <w:pPr>
        <w:pStyle w:val="ListBullet"/>
      </w:pPr>
      <w:r>
        <w:t>none</w:t>
      </w:r>
    </w:p>
    <w:p>
      <w:r>
        <w:t>Evidence coverage: 42 of 42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Rubric v2, threshold 7 of 12, strategy gate. Max attainable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primary</w:t>
            </w:r>
          </w:p>
        </w:tc>
        <w:tc>
          <w:tcPr>
            <w:tcW w:type="dxa" w:w="3456"/>
          </w:tcPr>
          <w:p>
            <w:r>
              <w:t>Peer cohort composite: private_credit without pflex (bcred, cion_ares, cliffwater_cclfx, ocic)</w:t>
            </w:r>
          </w:p>
        </w:tc>
        <w:tc>
          <w:tcPr>
            <w:tcW w:type="dxa" w:w="864"/>
          </w:tcPr>
          <w:p>
            <w:r>
              <w:t>9/12</w:t>
            </w:r>
          </w:p>
        </w:tc>
        <w:tc>
          <w:tcPr>
            <w:tcW w:type="dxa" w:w="3888"/>
          </w:tcPr>
          <w:p>
            <w:r>
              <w:t>KS-PME 0.9799, Direct Alpha -0.41%/yr, FY2021 to FY2025</w:t>
            </w:r>
          </w:p>
        </w:tc>
      </w:tr>
      <w:tr>
        <w:tc>
          <w:tcPr>
            <w:tcW w:type="dxa" w:w="1152"/>
          </w:tcPr>
          <w:p>
            <w:r>
              <w:t>secondary</w:t>
            </w:r>
          </w:p>
        </w:tc>
        <w:tc>
          <w:tcPr>
            <w:tcW w:type="dxa" w:w="3456"/>
          </w:tcPr>
          <w:p>
            <w:r>
              <w:t>Senior loan investable proxy (BKLN, for Morningstar LSTA class)</w:t>
            </w:r>
          </w:p>
        </w:tc>
        <w:tc>
          <w:tcPr>
            <w:tcW w:type="dxa" w:w="864"/>
          </w:tcPr>
          <w:p>
            <w:r>
              <w:t>9/12</w:t>
            </w:r>
          </w:p>
        </w:tc>
        <w:tc>
          <w:tcPr>
            <w:tcW w:type="dxa" w:w="3888"/>
          </w:tcPr>
          <w:p>
            <w:r>
              <w:t>KS-PME 1.1089, Direct Alpha 1.3%/yr, 2018-07-18 to 2026-07-17</w:t>
            </w:r>
          </w:p>
        </w:tc>
      </w:tr>
      <w:tr>
        <w:tc>
          <w:tcPr>
            <w:tcW w:type="dxa" w:w="1152"/>
          </w:tcPr>
          <w:p>
            <w:r>
              <w:t>rejected</w:t>
            </w:r>
          </w:p>
        </w:tc>
        <w:tc>
          <w:tcPr>
            <w:tcW w:type="dxa" w:w="3456"/>
          </w:tcPr>
          <w:p>
            <w:r>
              <w:t>Cliffwater Direct Lending Index (CDLI)</w:t>
            </w:r>
          </w:p>
        </w:tc>
        <w:tc>
          <w:tcPr>
            <w:tcW w:type="dxa" w:w="864"/>
          </w:tcPr>
          <w:p>
            <w:r>
              <w:t>6/12</w:t>
            </w:r>
          </w:p>
        </w:tc>
        <w:tc>
          <w:tcPr>
            <w:tcW w:type="dxa" w:w="3888"/>
          </w:tcPr>
          <w:p>
            <w:r>
              <w:t>score 6/12 below primary threshold 7</w:t>
            </w:r>
          </w:p>
        </w:tc>
      </w:tr>
    </w:tbl>
    <w:p>
      <w:pPr>
        <w:pStyle w:val="Heading1"/>
      </w:pPr>
      <w:r>
        <w:t>Exhibit B.</w:t>
      </w:r>
    </w:p>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4x/year.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interval_23c3</w:t>
            </w:r>
          </w:p>
        </w:tc>
        <w:tc>
          <w:tcPr>
            <w:tcW w:type="dxa" w:w="1152"/>
          </w:tcPr>
          <w:p>
            <w:r>
              <w:t>6.1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outstanding shares</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4x per year at 5% of outstanding shares: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net expense ratio</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extracted</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(private_credit, R4 phrasing): mgmt fee: 90th percentile of cohort (n=5), above the median of 1.25 | expense ratio (bases differ, see notes): 30th percentile of cohort (n=5), below the median of 3.76 | repurchase cap: 50th percentile of cohort (n=5), at the median of 5. Stats and per-member values in data/cohorts/private_credit.json, membership rationales in data/facts.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27, verified 0, computed 12, partial 2,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Sponsor name NEVER appears on demo surfaces. Data is public (DOL Form 5500 FOIA files); anonymization is a project display rule, not a legal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