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media/technology company 401(k) plan (~$570M, New York)</w:t>
        <w:br/>
      </w:r>
      <w:r>
        <w:t>Product: Starwood Real Estate Income Trust, Inc. (non-traded REIT ('34 Act reporting), CIK 1711929)</w:t>
        <w:br/>
      </w:r>
      <w:r>
        <w:t>Record as of 2026-09-04. DRAFT, generated by the build from the record. The decision memo for the same plan and product is a separate document.</w:t>
      </w:r>
    </w:p>
    <w:p>
      <w:pPr>
        <w:pStyle w:val="Heading1"/>
      </w:pPr>
      <w:r>
        <w:t>Summary</w:t>
      </w:r>
    </w:p>
    <w:p>
      <w:r>
        <w:t>Structural liquidity verdict: MISALIGNED (typed facts, plan-independent). Scenario verdict under this plan (ILLUSTRATIVE, default sliders): MISALIGNED.</w:t>
      </w:r>
    </w:p>
    <w:p>
      <w:r>
        <w:t>Benchmark: Listed REIT investable proxy (VNQ) at 9/12, KS-PME 0.9453, Direct Alpha -5.47%/yr over 2024-12-31 to 2025-12-31.</w:t>
      </w:r>
    </w:p>
    <w:p>
      <w:r>
        <w:t>Flags raised by the record (each restates a typed value or verdict, with its source):</w:t>
      </w:r>
    </w:p>
    <w:p>
      <w:pPr>
        <w:pStyle w:val="ListBullet"/>
      </w:pPr>
      <w:r>
        <w:t>Benchmark: low confidence: 1-year window, shorter than 3 years (benchmark comparison)</w:t>
      </w:r>
    </w:p>
    <w:p>
      <w:pPr>
        <w:pStyle w:val="ListBullet"/>
      </w:pPr>
      <w:r>
        <w:t>Liquidity: repurchase program suspended (cells 3.1, 3.3)</w:t>
      </w:r>
    </w:p>
    <w:p>
      <w:pPr>
        <w:pStyle w:val="ListBullet"/>
      </w:pPr>
      <w:r>
        <w:t>Liquidity: gating precedent, repurchases prorated under stress (cell 3.3)</w:t>
      </w:r>
    </w:p>
    <w:p>
      <w:pPr>
        <w:pStyle w:val="ListBullet"/>
      </w:pPr>
      <w:r>
        <w:t>Liquidity: ILLUSTRATIVE scenario verdict misaligned under this plan (base or stressed demand above wrapper capacity)</w:t>
      </w:r>
    </w:p>
    <w:p>
      <w:r>
        <w:t>Evidence coverage: 40 of 40 resolvable, 0 verified, 14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Rubric v2, threshold 7 of 12, strategy gate. Max attainable on held data 9/12.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primary</w:t>
            </w:r>
          </w:p>
        </w:tc>
        <w:tc>
          <w:tcPr>
            <w:tcW w:type="dxa" w:w="3456"/>
          </w:tcPr>
          <w:p>
            <w:r>
              <w:t>Listed REIT investable proxy (VNQ)</w:t>
            </w:r>
          </w:p>
        </w:tc>
        <w:tc>
          <w:tcPr>
            <w:tcW w:type="dxa" w:w="864"/>
          </w:tcPr>
          <w:p>
            <w:r>
              <w:t>9/12</w:t>
            </w:r>
          </w:p>
        </w:tc>
        <w:tc>
          <w:tcPr>
            <w:tcW w:type="dxa" w:w="3888"/>
          </w:tcPr>
          <w:p>
            <w:r>
              <w:t>KS-PME 0.9453, Direct Alpha -5.47%/yr, 2024-12-31 to 2025-12-31</w:t>
            </w:r>
          </w:p>
        </w:tc>
      </w:tr>
      <w:tr>
        <w:tc>
          <w:tcPr>
            <w:tcW w:type="dxa" w:w="1152"/>
          </w:tcPr>
          <w:p>
            <w:r>
              <w:t>secondary</w:t>
            </w:r>
          </w:p>
        </w:tc>
        <w:tc>
          <w:tcPr>
            <w:tcW w:type="dxa" w:w="3456"/>
          </w:tcPr>
          <w:p>
            <w:r>
              <w:t>NCREIF Fund Index - ODCE (private core RE)</w:t>
            </w:r>
          </w:p>
        </w:tc>
        <w:tc>
          <w:tcPr>
            <w:tcW w:type="dxa" w:w="864"/>
          </w:tcPr>
          <w:p>
            <w:r>
              <w:t>7/12</w:t>
            </w:r>
          </w:p>
        </w:tc>
        <w:tc>
          <w:tcPr>
            <w:tcW w:type="dxa" w:w="3888"/>
          </w:tcPr>
          <w:p>
            <w:r>
              <w:t>selected</w:t>
            </w:r>
          </w:p>
        </w:tc>
      </w:tr>
      <w:tr>
        <w:tc>
          <w:tcPr>
            <w:tcW w:type="dxa" w:w="1152"/>
          </w:tcPr>
          <w:p>
            <w:r>
              <w:t>rejected</w:t>
            </w:r>
          </w:p>
        </w:tc>
        <w:tc>
          <w:tcPr>
            <w:tcW w:type="dxa" w:w="3456"/>
          </w:tcPr>
          <w:p>
            <w:r>
              <w:t>Cambridge Associates Real Estate benchmark</w:t>
            </w:r>
          </w:p>
        </w:tc>
        <w:tc>
          <w:tcPr>
            <w:tcW w:type="dxa" w:w="864"/>
          </w:tcPr>
          <w:p>
            <w:r>
              <w:t>7/12</w:t>
            </w:r>
          </w:p>
        </w:tc>
        <w:tc>
          <w:tcPr>
            <w:tcW w:type="dxa" w:w="3888"/>
          </w:tcPr>
          <w:p>
            <w:r>
              <w:t>outranked: score 7/12 vs primary 9/12 and secondary 7/12 (only two slots). Retained in log as viable alternate</w:t>
            </w:r>
          </w:p>
        </w:tc>
      </w:tr>
      <w:tr>
        <w:tc>
          <w:tcPr>
            <w:tcW w:type="dxa" w:w="1152"/>
          </w:tcPr>
          <w:p>
            <w:r>
              <w:t>rejected</w:t>
            </w:r>
          </w:p>
        </w:tc>
        <w:tc>
          <w:tcPr>
            <w:tcW w:type="dxa" w:w="3456"/>
          </w:tcPr>
          <w:p>
            <w:r>
              <w:t>Peer cohort composite: nontraded_reit without sreit (breit, jll_ipt)</w:t>
            </w:r>
          </w:p>
        </w:tc>
        <w:tc>
          <w:tcPr>
            <w:tcW w:type="dxa" w:w="864"/>
          </w:tcPr>
          <w:p>
            <w:r>
              <w:t>4/12</w:t>
            </w:r>
          </w:p>
        </w:tc>
        <w:tc>
          <w:tcPr>
            <w:tcW w:type="dxa" w:w="3888"/>
          </w:tcPr>
          <w:p>
            <w:r>
              <w:t>score 4/12 below primary threshold 7</w:t>
            </w:r>
          </w:p>
        </w:tc>
      </w:tr>
    </w:tbl>
    <w:p>
      <w:pPr>
        <w:pStyle w:val="Heading1"/>
      </w:pPr>
      <w:r>
        <w:t>Exhibit B.</w:t>
      </w:r>
    </w:p>
    <w:p>
      <w:pPr>
        <w:pStyle w:val="Heading1"/>
      </w:pPr>
      <w:r>
        <w:t>Product-to-plan liquidity match</w:t>
      </w:r>
    </w:p>
    <w:p>
      <w:r>
        <w:t>Plan: US media/technology company 401(k) plan (~$570M, New York). verdict is structural (typed facts, cells 3.1, 3.3, 2.7, plan-independent). scenario_verdict is ILLUSTRATIVE (demand model against the same capacity, per plan).</w:t>
      </w:r>
    </w:p>
    <w:p>
      <w:pPr>
        <w:pStyle w:val="Heading2"/>
      </w:pPr>
      <w:r>
        <w:t>Structural verdict (typed facts, plan-independent)</w:t>
      </w:r>
    </w:p>
    <w:p>
      <w:r>
        <w:t>MISALIGNED</w:t>
      </w:r>
    </w:p>
    <w:p>
      <w:pPr>
        <w:pStyle w:val="ListBullet"/>
      </w:pPr>
      <w:r>
        <w:t>STRUCTURAL GAP: a participant-directed 404(c) menu assumes daily pricing and daily participant liquidity, whereas this wrapper deals 12x/year. Direct DIA use requires a bridging structure: CIT sleeve, managed account, or TDF sleeve (cell 3.5).</w:t>
      </w:r>
    </w:p>
    <w:p>
      <w:pPr>
        <w:pStyle w:val="ListBullet"/>
      </w:pPr>
      <w:r>
        <w:t>Repurchase program suspended (cell 3.1): ordinary repurchase requests are not accepted, so participant liquidity depends on the program reopening. Capacity is 0%. Gating precedent on top (3.3).</w:t>
      </w:r>
    </w:p>
    <w:p>
      <w:pPr>
        <w:pStyle w:val="ListBullet"/>
      </w:pPr>
      <w:r>
        <w:t>Early repurchase economics: 5%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nontraded_reit</w:t>
            </w:r>
          </w:p>
        </w:tc>
        <w:tc>
          <w:tcPr>
            <w:tcW w:type="dxa" w:w="1152"/>
          </w:tcPr>
          <w:p>
            <w:r>
              <w:t>6.1</w:t>
            </w:r>
          </w:p>
        </w:tc>
      </w:tr>
      <w:tr>
        <w:tc>
          <w:tcPr>
            <w:tcW w:type="dxa" w:w="2448"/>
          </w:tcPr>
          <w:p>
            <w:r>
              <w:t>Dealing cadence per year</w:t>
            </w:r>
          </w:p>
        </w:tc>
        <w:tc>
          <w:tcPr>
            <w:tcW w:type="dxa" w:w="5760"/>
          </w:tcPr>
          <w:p>
            <w:r>
              <w:t>12</w:t>
            </w:r>
          </w:p>
        </w:tc>
        <w:tc>
          <w:tcPr>
            <w:tcW w:type="dxa" w:w="1152"/>
          </w:tcPr>
          <w:p>
            <w:r>
              <w:t>3.1</w:t>
            </w:r>
          </w:p>
        </w:tc>
      </w:tr>
      <w:tr>
        <w:tc>
          <w:tcPr>
            <w:tcW w:type="dxa" w:w="2448"/>
          </w:tcPr>
          <w:p>
            <w:r>
              <w:t>Repurchase cap</w:t>
            </w:r>
          </w:p>
        </w:tc>
        <w:tc>
          <w:tcPr>
            <w:tcW w:type="dxa" w:w="5760"/>
          </w:tcPr>
          <w:p>
            <w:r>
              <w:t>0% of aggregate nav</w:t>
            </w:r>
          </w:p>
        </w:tc>
        <w:tc>
          <w:tcPr>
            <w:tcW w:type="dxa" w:w="1152"/>
          </w:tcPr>
          <w:p>
            <w:r>
              <w:t>3.1</w:t>
            </w:r>
          </w:p>
        </w:tc>
      </w:tr>
      <w:tr>
        <w:tc>
          <w:tcPr>
            <w:tcW w:type="dxa" w:w="2448"/>
          </w:tcPr>
          <w:p>
            <w:r>
              <w:t>Gating history</w:t>
            </w:r>
          </w:p>
        </w:tc>
        <w:tc>
          <w:tcPr>
            <w:tcW w:type="dxa" w:w="5760"/>
          </w:tcPr>
          <w:p>
            <w:r>
              <w:t>yes, prorated under stress</w:t>
            </w:r>
          </w:p>
        </w:tc>
        <w:tc>
          <w:tcPr>
            <w:tcW w:type="dxa" w:w="1152"/>
          </w:tcPr>
          <w:p>
            <w:r>
              <w:t>3.3</w:t>
            </w:r>
          </w:p>
        </w:tc>
      </w:tr>
      <w:tr>
        <w:tc>
          <w:tcPr>
            <w:tcW w:type="dxa" w:w="2448"/>
          </w:tcPr>
          <w:p>
            <w:r>
              <w:t>Repurchase program status</w:t>
            </w:r>
          </w:p>
        </w:tc>
        <w:tc>
          <w:tcPr>
            <w:tcW w:type="dxa" w:w="5760"/>
          </w:tcPr>
          <w:p>
            <w:r>
              <w:t>suspended</w:t>
            </w:r>
          </w:p>
        </w:tc>
        <w:tc>
          <w:tcPr>
            <w:tcW w:type="dxa" w:w="1152"/>
          </w:tcPr>
          <w:p>
            <w:r>
              <w:t>3.1</w:t>
            </w:r>
          </w:p>
        </w:tc>
      </w:tr>
      <w:tr>
        <w:tc>
          <w:tcPr>
            <w:tcW w:type="dxa" w:w="2448"/>
          </w:tcPr>
          <w:p>
            <w:r>
              <w:t>Early repurchase fee</w:t>
            </w:r>
          </w:p>
        </w:tc>
        <w:tc>
          <w:tcPr>
            <w:tcW w:type="dxa" w:w="5760"/>
          </w:tcPr>
          <w:p>
            <w:r>
              <w:t>5% if held &lt; 1 year (2.7)</w:t>
            </w:r>
          </w:p>
        </w:tc>
        <w:tc>
          <w:tcPr>
            <w:tcW w:type="dxa" w:w="1152"/>
          </w:tcPr>
          <w:p>
            <w:r>
              <w:t>2.7</w:t>
            </w:r>
          </w:p>
        </w:tc>
      </w:tr>
    </w:tbl>
    <w:p>
      <w:pPr>
        <w:pStyle w:val="Heading2"/>
      </w:pPr>
      <w:r>
        <w:t>Scenario (ILLUSTRATIVE, this plan)</w:t>
      </w:r>
    </w:p>
    <w:p>
      <w:r>
        <w:t>Plan inputs (Form 5500): net assets $565.8M, liquidity tail 36.1% of accounts (1,847 separated participants with balances).</w:t>
      </w:r>
    </w:p>
    <w:p>
      <w:r>
        <w:t>Parameters (adjustable on the site, not facts): allocation 5% of plan = $28.3M, tail turnover 20%/yr, active turnover 5%/yr. Base demand $2.9M/yr = 10.4% of the position vs annual wrapper capacity 0%.</w:t>
      </w:r>
    </w:p>
    <w:p>
      <w:r>
        <w:t>Stressed (tail turnover x2, active turnover x1.5 vs base scenario): demand $5.4M/yr = 19.2% of the position. EXCEEDS annual wrapper capacity. Unmet demand rolls into later windows (gating-equivalent outcome).</w:t>
      </w:r>
    </w:p>
    <w:p>
      <w:r>
        <w:t>Scenario verdict (ILLUSTRATIVE, this plan): MISALIGNED.</w:t>
      </w:r>
    </w:p>
    <w:p>
      <w:pPr>
        <w:pStyle w:val="ListBullet"/>
      </w:pPr>
      <w:r>
        <w:t>Capacity: repurchases closed (cell 3.1): 12x per year at 0% of aggregate nav. Capacity is 0% until the program reopens.</w:t>
      </w:r>
    </w:p>
    <w:p>
      <w:pPr>
        <w:pStyle w:val="ListBullet"/>
      </w:pPr>
      <w:r>
        <w:t>Scenario demand (illustrative): 10.4% of the position per year vs 0% annual wrapper capacity. EXCEEDS: repurchases are closed, so every request waits for the program to reopen.</w:t>
      </w:r>
    </w:p>
    <w:p>
      <w:pPr>
        <w:pStyle w:val="ListBullet"/>
      </w:pPr>
      <w:r>
        <w:t>Scenario verdict (ILLUSTRATIVE, this plan): misaligned. It moves with the sliders and the plan. Proration assumption: an oversubscribed offer is filled pro rata and the unfilled remainder waits for the next window.</w:t>
      </w:r>
    </w:p>
    <w:p>
      <w:pPr>
        <w:pStyle w:val="ListBullet"/>
      </w:pPr>
      <w:r>
        <w:t>Schedule H benefit payments (line 2e) not typed: the DOL bulk file F_SCH_H_2024_latest.csv is not in the repository and askebsa.dol.gov is blocked from the build container. Fill from the bulk file on a machine with access, citing the row. Demand uses the illustrative turnover sliders only.</w:t>
      </w:r>
    </w:p>
    <w:p>
      <w:r>
        <w:t>Cited: cell 3.1, cell 3.3, cell 3.5, cell 3.7, cell 3.9, cell 2.7, plan: plan_tech_media.json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1.25% on NAV</w:t>
            </w:r>
          </w:p>
        </w:tc>
        <w:tc>
          <w:tcPr>
            <w:tcW w:type="dxa" w:w="2880"/>
          </w:tcPr>
          <w:p>
            <w:r>
              <w:t>extracted-unverified</w:t>
            </w:r>
          </w:p>
        </w:tc>
      </w:tr>
      <w:tr>
        <w:tc>
          <w:tcPr>
            <w:tcW w:type="dxa" w:w="2880"/>
          </w:tcPr>
          <w:p>
            <w:r>
              <w:t>2.2 Incentive fee terms</w:t>
            </w:r>
          </w:p>
        </w:tc>
        <w:tc>
          <w:tcPr>
            <w:tcW w:type="dxa" w:w="3600"/>
          </w:tcPr>
          <w:p>
            <w:r>
              <w:t>incentive fee: 12.5%</w:t>
            </w:r>
          </w:p>
        </w:tc>
        <w:tc>
          <w:tcPr>
            <w:tcW w:type="dxa" w:w="2880"/>
          </w:tcPr>
          <w:p>
            <w:r>
              <w:t>extracted-unverified</w:t>
            </w:r>
          </w:p>
        </w:tc>
      </w:tr>
      <w:tr>
        <w:tc>
          <w:tcPr>
            <w:tcW w:type="dxa" w:w="2880"/>
          </w:tcPr>
          <w:p>
            <w:r>
              <w:t>2.3 Total expense ratio &amp; waivers</w:t>
            </w:r>
          </w:p>
        </w:tc>
        <w:tc>
          <w:tcPr>
            <w:tcW w:type="dxa" w:w="3600"/>
          </w:tcPr>
          <w:p>
            <w:r>
              <w:t>n/a</w:t>
            </w:r>
          </w:p>
        </w:tc>
        <w:tc>
          <w:tcPr>
            <w:tcW w:type="dxa" w:w="2880"/>
          </w:tcPr>
          <w:p>
            <w:r>
              <w:t>n/a - not publicly available: no TER disclosure exists for a '34-Act non-traded REIT - zero hits for 'expense ratio' in the stripped FY2025 10-K and Q2-2026 10-Q; fee-burden components evidenced in 2.1/2.2/2.6/2.7</w:t>
            </w:r>
          </w:p>
        </w:tc>
      </w:tr>
      <w:tr>
        <w:tc>
          <w:tcPr>
            <w:tcW w:type="dxa" w:w="2880"/>
          </w:tcPr>
          <w:p>
            <w:r>
              <w:t>2.4 AFFE</w:t>
            </w:r>
          </w:p>
        </w:tc>
        <w:tc>
          <w:tcPr>
            <w:tcW w:type="dxa" w:w="3600"/>
          </w:tcPr>
          <w:p>
            <w:r>
              <w:t>no AFFE line</w:t>
            </w:r>
          </w:p>
        </w:tc>
        <w:tc>
          <w:tcPr>
            <w:tcW w:type="dxa" w:w="2880"/>
          </w:tcPr>
          <w:p>
            <w:r>
              <w:t>extracted-unverified</w:t>
            </w:r>
          </w:p>
        </w:tc>
      </w:tr>
      <w:tr>
        <w:tc>
          <w:tcPr>
            <w:tcW w:type="dxa" w:w="2880"/>
          </w:tcPr>
          <w:p>
            <w:r>
              <w:t>2.6 Loads &amp; servicing fees</w:t>
            </w:r>
          </w:p>
        </w:tc>
        <w:tc>
          <w:tcPr>
            <w:tcW w:type="dxa" w:w="3600"/>
          </w:tcPr>
          <w:p>
            <w:r>
              <w:t>extracted</w:t>
            </w:r>
          </w:p>
        </w:tc>
        <w:tc>
          <w:tcPr>
            <w:tcW w:type="dxa" w:w="2880"/>
          </w:tcPr>
          <w:p>
            <w:r>
              <w:t>extracted-unverified</w:t>
            </w:r>
          </w:p>
        </w:tc>
      </w:tr>
      <w:tr>
        <w:tc>
          <w:tcPr>
            <w:tcW w:type="dxa" w:w="2880"/>
          </w:tcPr>
          <w:p>
            <w:r>
              <w:t>2.7 Early repurchase fee</w:t>
            </w:r>
          </w:p>
        </w:tc>
        <w:tc>
          <w:tcPr>
            <w:tcW w:type="dxa" w:w="3600"/>
          </w:tcPr>
          <w:p>
            <w:r>
              <w:t>early repurchase fee: 5% &lt; 1 year</w:t>
            </w:r>
          </w:p>
        </w:tc>
        <w:tc>
          <w:tcPr>
            <w:tcW w:type="dxa" w:w="2880"/>
          </w:tcPr>
          <w:p>
            <w:r>
              <w:t>extracted-unverified</w:t>
            </w:r>
          </w:p>
        </w:tc>
      </w:tr>
      <w:tr>
        <w:tc>
          <w:tcPr>
            <w:tcW w:type="dxa" w:w="2880"/>
          </w:tcPr>
          <w:p>
            <w:r>
              <w:t>6.4 Tax reporting (1099 vs K-1)</w:t>
            </w:r>
          </w:p>
        </w:tc>
        <w:tc>
          <w:tcPr>
            <w:tcW w:type="dxa" w:w="3600"/>
          </w:tcPr>
          <w:p>
            <w:r>
              <w:t>partial</w:t>
            </w:r>
          </w:p>
        </w:tc>
        <w:tc>
          <w:tcPr>
            <w:tcW w:type="dxa" w:w="2880"/>
          </w:tcPr>
          <w:p>
            <w:r>
              <w:t>partial</w:t>
            </w:r>
          </w:p>
        </w:tc>
      </w:tr>
    </w:tbl>
    <w:p>
      <w:pPr>
        <w:pStyle w:val="Heading1"/>
      </w:pPr>
      <w:r>
        <w:t>Exhibit D. Peer cohort placement</w:t>
      </w:r>
    </w:p>
    <w:p>
      <w:r>
        <w:t>Cohort Non-traded NAV REITs (n=3). Non-traded monthly-NAV REIT - breit's closest structural twin (class structure, repurchase plan, 2022-24 stress history).</w:t>
      </w:r>
    </w:p>
    <w:p>
      <w:r>
        <w:t>Cohort placement (nontraded_reit, R4 phrasing): mgmt fee: at the cohort median of 1.25 (n=3, too small for percentile language) | expense ratio (bases differ, see notes): fact unavailable for this member | repurchase cap: below the cohort median of 2 (n=3, too small for percentile language). Stats and per-member values in data/cohorts/nontraded_reit.json, membership rationales in data/facts.</w:t>
      </w:r>
    </w:p>
    <w:p>
      <w:pPr>
        <w:pStyle w:val="ListBullet"/>
      </w:pPr>
      <w:r>
        <w:t>NAV-CADENCE MIX: daily, monthly, and quarterly NAV processes embed different appraisal smoothing. Volatility and drawdown comparisons inherit that difference (see de-smoothing lab). [typed per product: breit: monthly, jll_ipt: daily, sreit: monthly]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media/technology company 401(k) plan (~$570M, New York).</w:t>
      </w:r>
    </w:p>
    <w:p>
      <w:pPr>
        <w:pStyle w:val="Heading1"/>
      </w:pPr>
      <w:r>
        <w:t>Provenance</w:t>
      </w:r>
    </w:p>
    <w:p>
      <w:r>
        <w:t>Cell status for this product: structured 0, extracted-unverified 24, verified 0, computed 9, partial 6, fetched 1, n/a 14,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Sponsor name NEVER appears on demo surfaces. Data is public (DOL Form 5500 FOIA files); anonymization is a project display rule, not a legal requirement.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