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US media/technology company 401(k) plan (~$570M, New York)</w:t>
        <w:br/>
      </w:r>
      <w:r>
        <w:t>Product: Neostellar Capital Corp. (fka SuRo Capital Corp., SSSS) (LISTED BDC (exchange-traded; pre-IPO growth holdings), CIK 1509470)</w:t>
        <w:br/>
      </w:r>
      <w:r>
        <w:t>Record as of 2026-09-04. DRAFT, generated by the build from the record. The decision memo for the same plan and product is a separate document.</w:t>
      </w:r>
    </w:p>
    <w:p>
      <w:pPr>
        <w:pStyle w:val="Heading1"/>
      </w:pPr>
      <w:r>
        <w:t>Summary</w:t>
      </w:r>
    </w:p>
    <w:p>
      <w:r>
        <w:t>Structural liquidity verdict: ALIGNED-MECHANICAL (typed facts, plan-independent). Scenario verdict under this plan (ILLUSTRATIVE, default sliders): ALIGNED-MECHANICAL.</w:t>
      </w:r>
    </w:p>
    <w:p>
      <w:r>
        <w:t>Benchmark: escalated. NO MEANINGFUL BENCHMARK CONSTRUCTIBLE from available data. Required next: public NAV series (quarterly filings) plus a premium/NAV decomposition before any comparator is defensible.</w:t>
      </w:r>
    </w:p>
    <w:p>
      <w:r>
        <w:t>Flags raised by the record (each restates a typed value or verdict, with its source):</w:t>
      </w:r>
    </w:p>
    <w:p>
      <w:pPr>
        <w:pStyle w:val="ListBullet"/>
      </w:pPr>
      <w:r>
        <w:t>Benchmark: NO MEANINGFUL BENCHMARK CONSTRUCTIBLE from available data. Required next: public NAV series (quarterly filings) plus a premium/NAV decomposition before any comparator is defensible. (benchmark selection)</w:t>
      </w:r>
    </w:p>
    <w:p>
      <w:r>
        <w:t>Evidence coverage: 43 of 43 resolvable, 0 verified, 11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Rubric v2, threshold 7 of 12, strategy gate. No candidate is eligible on held data.</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rejected</w:t>
            </w:r>
          </w:p>
        </w:tc>
        <w:tc>
          <w:tcPr>
            <w:tcW w:type="dxa" w:w="3456"/>
          </w:tcPr>
          <w:p>
            <w:r>
              <w:t>S&amp;P 500 investable proxy (SPY)</w:t>
            </w:r>
          </w:p>
        </w:tc>
        <w:tc>
          <w:tcPr>
            <w:tcW w:type="dxa" w:w="864"/>
          </w:tcPr>
          <w:p>
            <w:r>
              <w:t>7/12</w:t>
            </w:r>
          </w:p>
        </w:tc>
        <w:tc>
          <w:tcPr>
            <w:tcW w:type="dxa" w:w="3888"/>
          </w:tcPr>
          <w:p>
            <w:r>
              <w:t>fund price is premium/discount-driven and decoupled from NAV. Benchmarking the price benchmarks the premium, not the portfolio</w:t>
            </w:r>
          </w:p>
        </w:tc>
      </w:tr>
      <w:tr>
        <w:tc>
          <w:tcPr>
            <w:tcW w:type="dxa" w:w="1152"/>
          </w:tcPr>
          <w:p>
            <w:r>
              <w:t>rejected</w:t>
            </w:r>
          </w:p>
        </w:tc>
        <w:tc>
          <w:tcPr>
            <w:tcW w:type="dxa" w:w="3456"/>
          </w:tcPr>
          <w:p>
            <w:r>
              <w:t>Listed private equity investable proxy (PSP)</w:t>
            </w:r>
          </w:p>
        </w:tc>
        <w:tc>
          <w:tcPr>
            <w:tcW w:type="dxa" w:w="864"/>
          </w:tcPr>
          <w:p>
            <w:r>
              <w:t>7/12</w:t>
            </w:r>
          </w:p>
        </w:tc>
        <w:tc>
          <w:tcPr>
            <w:tcW w:type="dxa" w:w="3888"/>
          </w:tcPr>
          <w:p>
            <w:r>
              <w:t>fund price is premium/discount-driven and decoupled from NAV. Benchmarking the price benchmarks the premium, not the portfolio</w:t>
            </w:r>
          </w:p>
        </w:tc>
      </w:tr>
      <w:tr>
        <w:tc>
          <w:tcPr>
            <w:tcW w:type="dxa" w:w="1152"/>
          </w:tcPr>
          <w:p>
            <w:r>
              <w:t>rejected</w:t>
            </w:r>
          </w:p>
        </w:tc>
        <w:tc>
          <w:tcPr>
            <w:tcW w:type="dxa" w:w="3456"/>
          </w:tcPr>
          <w:p>
            <w:r>
              <w:t>Peer cohort composite: venture without ssss (arkvx, dxyz)</w:t>
            </w:r>
          </w:p>
        </w:tc>
        <w:tc>
          <w:tcPr>
            <w:tcW w:type="dxa" w:w="864"/>
          </w:tcPr>
          <w:p>
            <w:r>
              <w:t>4/12</w:t>
            </w:r>
          </w:p>
        </w:tc>
        <w:tc>
          <w:tcPr>
            <w:tcW w:type="dxa" w:w="3888"/>
          </w:tcPr>
          <w:p>
            <w:r>
              <w:t>fund price is premium/discount-driven and decoupled from NAV. Benchmarking the price benchmarks the premium, not the portfolio</w:t>
            </w:r>
          </w:p>
        </w:tc>
      </w:tr>
    </w:tbl>
    <w:p>
      <w:pPr>
        <w:pStyle w:val="Heading1"/>
      </w:pPr>
      <w:r>
        <w:t>Exhibit B.</w:t>
      </w:r>
    </w:p>
    <w:p>
      <w:pPr>
        <w:pStyle w:val="Heading1"/>
      </w:pPr>
      <w:r>
        <w:t>Product-to-plan liquidity match</w:t>
      </w:r>
    </w:p>
    <w:p>
      <w:r>
        <w:t>Plan: US media/technology company 401(k) plan (~$570M, New York). verdict is structural (typed facts, cells 3.1, 3.3, 2.7, plan-independent). scenario_verdict is ILLUSTRATIVE (demand model against the same capacity, per plan).</w:t>
      </w:r>
    </w:p>
    <w:p>
      <w:pPr>
        <w:pStyle w:val="Heading2"/>
      </w:pPr>
      <w:r>
        <w:t>Structural verdict (typed facts, plan-independent)</w:t>
      </w:r>
    </w:p>
    <w:p>
      <w:r>
        <w:t>ALIGNED-MECHANICAL</w:t>
      </w:r>
    </w:p>
    <w:p>
      <w:pPr>
        <w:pStyle w:val="ListBullet"/>
      </w:pPr>
      <w:r>
        <w:t>Daily exchange liquidity mechanically satisfies daily participant dealing (3.1).</w:t>
      </w:r>
    </w:p>
    <w:p>
      <w:pPr>
        <w:pStyle w:val="ListBullet"/>
      </w:pPr>
      <w:r>
        <w:t>BUT price-vs-NAV decoupling means participants transact at the premium or discount, not at portfolio value. The liquidity is real, the price basis is not (1.10, 4.7).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listed_bdc</w:t>
            </w:r>
          </w:p>
        </w:tc>
        <w:tc>
          <w:tcPr>
            <w:tcW w:type="dxa" w:w="1152"/>
          </w:tcPr>
          <w:p>
            <w:r>
              <w:t>6.1</w:t>
            </w:r>
          </w:p>
        </w:tc>
      </w:tr>
      <w:tr>
        <w:tc>
          <w:tcPr>
            <w:tcW w:type="dxa" w:w="2448"/>
          </w:tcPr>
          <w:p>
            <w:r>
              <w:t>Dealing cadence per year</w:t>
            </w:r>
          </w:p>
        </w:tc>
        <w:tc>
          <w:tcPr>
            <w:tcW w:type="dxa" w:w="5760"/>
          </w:tcPr>
          <w:p>
            <w:r>
              <w:t>252</w:t>
            </w:r>
          </w:p>
        </w:tc>
        <w:tc>
          <w:tcPr>
            <w:tcW w:type="dxa" w:w="1152"/>
          </w:tcPr>
          <w:p>
            <w:r>
              <w:t>3.1</w:t>
            </w:r>
          </w:p>
        </w:tc>
      </w:tr>
      <w:tr>
        <w:tc>
          <w:tcPr>
            <w:tcW w:type="dxa" w:w="2448"/>
          </w:tcPr>
          <w:p>
            <w:r>
              <w:t>Repurchase cap</w:t>
            </w:r>
          </w:p>
        </w:tc>
        <w:tc>
          <w:tcPr>
            <w:tcW w:type="dxa" w:w="5760"/>
          </w:tcPr>
          <w:p>
            <w:r>
              <w:t>not typed: on-exchange liquidity with no fund-level cap</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exchange-listed, no repurchase program</w:t>
            </w:r>
          </w:p>
        </w:tc>
        <w:tc>
          <w:tcPr>
            <w:tcW w:type="dxa" w:w="1152"/>
          </w:tcPr>
          <w:p>
            <w:r>
              <w:t>3.1</w:t>
            </w:r>
          </w:p>
        </w:tc>
      </w:tr>
      <w:tr>
        <w:tc>
          <w:tcPr>
            <w:tcW w:type="dxa" w:w="2448"/>
          </w:tcPr>
          <w:p>
            <w:r>
              <w:t>Early repurchase fee</w:t>
            </w:r>
          </w:p>
        </w:tc>
        <w:tc>
          <w:tcPr>
            <w:tcW w:type="dxa" w:w="5760"/>
          </w:tcPr>
          <w:p>
            <w:r>
              <w:t>not typed (2.7)</w:t>
            </w:r>
          </w:p>
        </w:tc>
        <w:tc>
          <w:tcPr>
            <w:tcW w:type="dxa" w:w="1152"/>
          </w:tcPr>
          <w:p>
            <w:r>
              <w:t>2.7</w:t>
            </w:r>
          </w:p>
        </w:tc>
      </w:tr>
    </w:tbl>
    <w:p>
      <w:pPr>
        <w:pStyle w:val="Heading2"/>
      </w:pPr>
      <w:r>
        <w:t>Scenario (ILLUSTRATIVE, this plan)</w:t>
      </w:r>
    </w:p>
    <w:p>
      <w:r>
        <w:t>Plan inputs (Form 5500): net assets $565.8M, liquidity tail 36.1% of accounts (1,847 separated participants with balances).</w:t>
      </w:r>
    </w:p>
    <w:p>
      <w:r>
        <w:t>Parameters (adjustable on the site, not facts): allocation 5% of plan = $28.3M, tail turnover 20%/yr, active turnover 5%/yr. Base demand $2.9M/yr = 10.4% of the position vs annual wrapper capacity not applicable (exchange-traded).</w:t>
      </w:r>
    </w:p>
    <w:p>
      <w:r>
        <w:t>Stressed (tail turnover x2, active turnover x1.5 vs base scenario): demand $5.4M/yr = 19.2% of the position. daily exchange liquidity, so stress transmits to price, not to a fund gate.</w:t>
      </w:r>
    </w:p>
    <w:p>
      <w:r>
        <w:t>Scenario verdict (ILLUSTRATIVE, this plan): ALIGNED-MECHANICAL.</w:t>
      </w:r>
    </w:p>
    <w:p>
      <w:pPr>
        <w:pStyle w:val="ListBullet"/>
      </w:pPr>
      <w:r>
        <w:t>Capacity: daily on-exchange liquidity. Capacity is market depth, not a fund cap.</w:t>
      </w:r>
    </w:p>
    <w:p>
      <w:r>
        <w:t>Cited: cell 3.1, cell 3.3, cell 3.5, cell 3.7, cell 3.9, cell 2.7, plan: plan_tech_media.json (Form 5500, plan year 2024-01-01 to 2024-12-31).</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1.75% on gross assets incl. borrowings</w:t>
            </w:r>
          </w:p>
        </w:tc>
        <w:tc>
          <w:tcPr>
            <w:tcW w:type="dxa" w:w="2880"/>
          </w:tcPr>
          <w:p>
            <w:r>
              <w:t>extracted-unverified</w:t>
            </w:r>
          </w:p>
        </w:tc>
      </w:tr>
      <w:tr>
        <w:tc>
          <w:tcPr>
            <w:tcW w:type="dxa" w:w="2880"/>
          </w:tcPr>
          <w:p>
            <w:r>
              <w:t>2.2 Incentive fee terms</w:t>
            </w:r>
          </w:p>
        </w:tc>
        <w:tc>
          <w:tcPr>
            <w:tcW w:type="dxa" w:w="3600"/>
          </w:tcPr>
          <w:p>
            <w:r>
              <w:t>incentive fee: 7% hurdle</w:t>
            </w:r>
          </w:p>
        </w:tc>
        <w:tc>
          <w:tcPr>
            <w:tcW w:type="dxa" w:w="2880"/>
          </w:tcPr>
          <w:p>
            <w:r>
              <w:t>extracted-unverified</w:t>
            </w:r>
          </w:p>
        </w:tc>
      </w:tr>
      <w:tr>
        <w:tc>
          <w:tcPr>
            <w:tcW w:type="dxa" w:w="2880"/>
          </w:tcPr>
          <w:p>
            <w:r>
              <w:t>2.3 Total expense ratio &amp; waivers</w:t>
            </w:r>
          </w:p>
        </w:tc>
        <w:tc>
          <w:tcPr>
            <w:tcW w:type="dxa" w:w="3600"/>
          </w:tcPr>
          <w:p>
            <w:r>
              <w:t>9.46% net expense ratio</w:t>
            </w:r>
          </w:p>
        </w:tc>
        <w:tc>
          <w:tcPr>
            <w:tcW w:type="dxa" w:w="2880"/>
          </w:tcPr>
          <w:p>
            <w:r>
              <w:t>extracted-unverified</w:t>
            </w:r>
          </w:p>
        </w:tc>
      </w:tr>
      <w:tr>
        <w:tc>
          <w:tcPr>
            <w:tcW w:type="dxa" w:w="2880"/>
          </w:tcPr>
          <w:p>
            <w:r>
              <w:t>2.4 AFFE</w:t>
            </w:r>
          </w:p>
        </w:tc>
        <w:tc>
          <w:tcPr>
            <w:tcW w:type="dxa" w:w="3600"/>
          </w:tcPr>
          <w:p>
            <w:r>
              <w:t>AFFE 0.06%</w:t>
            </w:r>
          </w:p>
        </w:tc>
        <w:tc>
          <w:tcPr>
            <w:tcW w:type="dxa" w:w="2880"/>
          </w:tcPr>
          <w:p>
            <w:r>
              <w:t>extracted-unverified</w:t>
            </w:r>
          </w:p>
        </w:tc>
      </w:tr>
      <w:tr>
        <w:tc>
          <w:tcPr>
            <w:tcW w:type="dxa" w:w="2880"/>
          </w:tcPr>
          <w:p>
            <w:r>
              <w:t>2.6 Loads &amp; servicing fees</w:t>
            </w:r>
          </w:p>
        </w:tc>
        <w:tc>
          <w:tcPr>
            <w:tcW w:type="dxa" w:w="3600"/>
          </w:tcPr>
          <w:p>
            <w:r>
              <w:t>extracted</w:t>
            </w:r>
          </w:p>
        </w:tc>
        <w:tc>
          <w:tcPr>
            <w:tcW w:type="dxa" w:w="2880"/>
          </w:tcPr>
          <w:p>
            <w:r>
              <w:t>extracted-unverified</w:t>
            </w:r>
          </w:p>
        </w:tc>
      </w:tr>
      <w:tr>
        <w:tc>
          <w:tcPr>
            <w:tcW w:type="dxa" w:w="2880"/>
          </w:tcPr>
          <w:p>
            <w:r>
              <w:t>2.7 Early repurchase fee</w:t>
            </w:r>
          </w:p>
        </w:tc>
        <w:tc>
          <w:tcPr>
            <w:tcW w:type="dxa" w:w="3600"/>
          </w:tcPr>
          <w:p>
            <w:r>
              <w:t>n/a</w:t>
            </w:r>
          </w:p>
        </w:tc>
        <w:tc>
          <w:tcPr>
            <w:tcW w:type="dxa" w:w="2880"/>
          </w:tcPr>
          <w:p>
            <w:r>
              <w:t>n/a - exchange-traded: no investor-level repurchase/redemption exists, so no early-repurchase fee is possible; exit is on-exchange sale at market price</w:t>
            </w:r>
          </w:p>
        </w:tc>
      </w:tr>
      <w:tr>
        <w:tc>
          <w:tcPr>
            <w:tcW w:type="dxa" w:w="2880"/>
          </w:tcPr>
          <w:p>
            <w:r>
              <w:t>6.4 Tax reporting (1099 vs K-1)</w:t>
            </w:r>
          </w:p>
        </w:tc>
        <w:tc>
          <w:tcPr>
            <w:tcW w:type="dxa" w:w="3600"/>
          </w:tcPr>
          <w:p>
            <w:r>
              <w:t>partial</w:t>
            </w:r>
          </w:p>
        </w:tc>
        <w:tc>
          <w:tcPr>
            <w:tcW w:type="dxa" w:w="2880"/>
          </w:tcPr>
          <w:p>
            <w:r>
              <w:t>partial</w:t>
            </w:r>
          </w:p>
        </w:tc>
      </w:tr>
    </w:tbl>
    <w:p>
      <w:pPr>
        <w:pStyle w:val="Heading1"/>
      </w:pPr>
      <w:r>
        <w:t>Exhibit D. Peer cohort placement</w:t>
      </w:r>
    </w:p>
    <w:p>
      <w:r>
        <w:t>Cohort Pre-IPO / venture growth (listed CEF + listed BDC + interval fund) (n=3). Listed BDC (fka SuRo Capital) holding late-stage growth equity, the second market-priced venture vehicle. Gives dxyz a premium/discount comparable. Membership CONDITIONAL on strategy continuity through the Neostellar rename (verification queue).</w:t>
      </w:r>
    </w:p>
    <w:p>
      <w:r>
        <w:t>Cohort placement (venture, R4 phrasing): mgmt fee: below the cohort median of 2.5 (n=3, too small for percentile language) | expense ratio (bases differ, see notes): above the cohort median of 4.53 (n=3, too small for percentile language) | repurchase cap: fact unavailable for this member. Stats and per-member values in data/cohorts/venture.json, membership rationales in data/facts.</w:t>
      </w:r>
    </w:p>
    <w:p>
      <w:pPr>
        <w:pStyle w:val="ListBullet"/>
      </w:pPr>
      <w:r>
        <w:t>PRICING-BASIS MIX: some members transact at NAV, others at exchange market price. Return comparisons mix appraisal dynamics with premium/discount dynamics, so composites across this line are refused, not averaged. [typed per product: arkvx: NAV, dxyz: MARKET, ssss: MARKET]</w:t>
      </w:r>
    </w:p>
    <w:p>
      <w:pPr>
        <w:pStyle w:val="ListBullet"/>
      </w:pPr>
      <w:r>
        <w:t>LEVERAGE-REGIME MIX: BDC 150% coverage and non-1940-Act wrappers allow materially more leverage than 1940-Act funds. Fee bases and return volatility are not like-for-like. [typed per product: arkvx: 1940-Act asset-coverage limits, dxyz: 1940-Act asset-coverage limits, ssss: BDC 150% asset-coverage regime]</w:t>
      </w:r>
    </w:p>
    <w:p>
      <w:pPr>
        <w:pStyle w:val="ListBullet"/>
      </w:pPr>
      <w:r>
        <w:t>LIQUIDITY-LAW MIX: Rule 23c-3 obligations, discretionary tenders, and repurchase plans give different worst-case exit rights. Cadence numbers alone overstate comparability. [by wrapper type: arkvx: Rule 23c-3 OBLIGATION (board cannot skip a window), dxyz: continuous exchange dealing, ssss: continuous exchange dealing]</w:t>
      </w:r>
    </w:p>
    <w:p>
      <w:pPr>
        <w:pStyle w:val="ListBullet"/>
      </w:pPr>
      <w:r>
        <w:t>NAV-CADENCE MIX: daily, monthly, and quarterly NAV processes embed different appraisal smoothing. Volatility and drawdown comparisons inherit that difference (see de-smoothing lab). [typed per product: arkvx: daily, dxyz: quarterly, ssss: quarterly]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media/technology company 401(k) plan (~$570M, New York).</w:t>
      </w:r>
    </w:p>
    <w:p>
      <w:pPr>
        <w:pStyle w:val="Heading1"/>
      </w:pPr>
      <w:r>
        <w:t>Provenance</w:t>
      </w:r>
    </w:p>
    <w:p>
      <w:r>
        <w:t>Cell status for this product: structured 0, extracted-unverified 27, verified 0, computed 11, partial 4, fetched 1, n/a 11,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Sponsor name NEVER appears on demo surfaces. Data is public (DOL Form 5500 FOIA files); anonymization is a project display rule, not a legal requirement.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