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private_credit without bcred (cion_ares, cliffwater_cclfx, ocic, pflex) (score 10/12)</w:t>
      </w:r>
    </w:p>
    <w:p>
      <w:r>
        <w:t>Window FY2021 to FY2025 (5 overlapping fiscal year(s) of 5 composite years): fund 9.85%/yr vs benchmark 8.18%/yr, KS-PME 1.0798, Direct Alpha 1.55%/yr.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(private_credit / direct_lending)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Senior loan investable proxy (BKLN, for Morningstar LSTA class) (score 9/12)</w:t>
      </w:r>
    </w:p>
    <w:p>
      <w:r>
        <w:t>Window 2021-01-07 to 2025-12-31: fund 9.89%/yr vs benchmark 5.29%/yr,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(syndicated loans for direct lending)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Morningstar LSTA class)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chassis: the same strategy as cclfx on different plumbing (150% asset-coverage leverage, discretionary quarterly tenders, monthly NAV). Admitted deliberately cross-wrapper so the caveat machinery has real work.</w:t>
      </w:r>
    </w:p>
    <w:p>
      <w:r>
        <w:t>Cohort placement (private_credit, R4 phrasing): mgmt fee: 50th percentile of cohort (n=5), at the median of 1.25 | expense ratio (bases differ, see notes): 70th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