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Designated Investment Alternative Evaluation — Decision Memo</w:t>
      </w:r>
    </w:p>
    <w:p>
      <w:r>
        <w:rPr>
          <w:b/>
        </w:rPr>
        <w:t>Plan: US media/technology company 401(k) plan (~$570M, New York)</w:t>
        <w:br/>
      </w:r>
      <w:r>
        <w:t>Product: AMG Pantheon Fund, LLC (tender-offer fund ('40 Act), evergreen PE, CIK 1609211)</w:t>
        <w:br/>
      </w:r>
      <w:r>
        <w:t>Date: 2026-08-15    Status: DRAFT — demo build; cells marked extracted-unverified pend independent verification.</w:t>
      </w:r>
    </w:p>
    <w:p>
      <w:pPr>
        <w:pStyle w:val="Heading1"/>
      </w:pPr>
      <w:r>
        <w:t>Regulatory basis</w:t>
      </w:r>
    </w:p>
    <w:p>
      <w:r>
        <w:t>DOL proposed rule, Fiduciary Duties in Selecting Designated Investment Alternatives, 91 FR 16088 (Mar. 31, 2026), RIN 1210-AC38</w:t>
      </w:r>
    </w:p>
    <w:p>
      <w:r>
        <w:t>This memo documents an evaluation of the product below as a potential designated investment alternative (DIA) for the plan, structured on the six factors of the proposed rule: performance, fees and expenses, liquidity, valuation, performance benchmarks, and complexity. The proposed safe harbor attaches to a documented, objective, thorough and analytical process; this memo and its underlying evidence files constitute that record.</w:t>
      </w:r>
    </w:p>
    <w:p>
      <w:r>
        <w:t>On benchmarks, the proposal requires comparison against a meaningful benchmark and acknowledges that no single benchmark is meaningful for every DIA; where none exists, the history of a similar type of investment may serve. The benchmark section below therefore documents the selection AND the rejections: every candidate considered, its score, and the true reason it was or was not chosen. Note: the pleading standard for benchmark-based claims is before the Supreme Court in Anderson v. Intel (argument expected October Term 2026); this memo's approach is designed to be defensible under either outcome.</w:t>
      </w:r>
    </w:p>
    <w:p>
      <w:pPr>
        <w:pStyle w:val="Heading1"/>
      </w:pPr>
      <w:r>
        <w:t>Six-factor findings (summary)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016"/>
          </w:tcPr>
          <w:p>
            <w:r>
              <w:t>Factor</w:t>
            </w:r>
          </w:p>
        </w:tc>
        <w:tc>
          <w:tcPr>
            <w:tcW w:type="dxa" w:w="7344"/>
          </w:tcPr>
          <w:p>
            <w:r>
              <w:t>Key findings (cell: value)</w:t>
            </w:r>
          </w:p>
        </w:tc>
      </w:tr>
      <w:tr>
        <w:tc>
          <w:tcPr>
            <w:tcW w:type="dxa" w:w="2016"/>
          </w:tcPr>
          <w:p>
            <w:r>
              <w:t>1 — Performance</w:t>
            </w:r>
          </w:p>
        </w:tc>
        <w:tc>
          <w:tcPr>
            <w:tcW w:type="dxa" w:w="7344"/>
          </w:tcPr>
          <w:p>
            <w:r>
              <w:t>1.1: NAV-based net total return series, fiscal years ended March 31, all five classes printed. Primary class (Class 4, zero distribution fee, inception 09/30/14 = Fund inception, used in the N-CSR performance graph): FY2026 9</w:t>
              <w:br/>
              <w:t>1.2: Average annual total returns as of 3/31/2026 (1yr / 5yr / 10yr / since inception, inception date): Class 4: 9.10% / 11.12% / 13.16% / 11.63% (09/30/14); Class 3: 8.88 / 10.84 / 12.87 / 12.50 (10/27/15); Class 2: 8.60 / 1</w:t>
              <w:br/>
              <w:t>1.3: PARTIAL: no gross-of-fees RETURN series is printed in any on-disk document - only net total returns. What IS printed is the gross-vs-net EXPENSE-ratio spread, a constant 0.70% for every class every year FY2024-FY2026 (FY</w:t>
              <w:br/>
              <w:t>1.4: Distributions declared/paid at least annually; identical per-unit across classes: FY2026 $0.63, FY2025 $0.25, FY2024 $0.17, FY2023 $0.41, FY2022 $0.72 - all from net realized gain on investments. Class 4 ten-year table a</w:t>
            </w:r>
          </w:p>
        </w:tc>
      </w:tr>
      <w:tr>
        <w:tc>
          <w:tcPr>
            <w:tcW w:type="dxa" w:w="2016"/>
          </w:tcPr>
          <w:p>
            <w:r>
              <w:t>2 — Fees</w:t>
            </w:r>
          </w:p>
        </w:tc>
        <w:tc>
          <w:tcPr>
            <w:tcW w:type="dxa" w:w="7344"/>
          </w:tcPr>
          <w:p>
            <w:r>
              <w:t>2.1: RATE: 0.70% annual. BASE: net assets as of the end of each month, determined before accrual of the fee being calculated and before purchases/repurchases/distributions. WHERE CHARGED: paid by the Master Fund AND by each S</w:t>
              <w:br/>
              <w:t>2.2: Documented absence at Fund/Master level: the N-2 fee tables for all five classes print only Management Fee, Distribution and/or Service Fee, Other Expenses, and Acquired Fund Fees and Expenses - no incentive or performan</w:t>
              <w:br/>
              <w:t>2.3: N-2 fee tables, Total Annual Expenses (as % of net assets attributable to Units): Class 1 3.13%, Class 2 2.88%, Class 3 2.63%, Class 4 2.38%, Class 5 3.38% - each = 0.70% management + 0.75/0.50/0.25/0.00/1.00% distributi</w:t>
              <w:br/>
              <w:t xml:space="preserve">2.4: AFFE 0.81% for every class (Class 1 table and Class 2-5 table identical). Reflects operating expenses of the Investment Funds (management fees, administration fees, professional and other direct fixed fees); excludes an </w:t>
            </w:r>
          </w:p>
        </w:tc>
      </w:tr>
      <w:tr>
        <w:tc>
          <w:tcPr>
            <w:tcW w:type="dxa" w:w="2016"/>
          </w:tcPr>
          <w:p>
            <w:r>
              <w:t>3 — Liquidity</w:t>
            </w:r>
          </w:p>
        </w:tc>
        <w:tc>
          <w:tcPr>
            <w:tcW w:type="dxa" w:w="7344"/>
          </w:tcPr>
          <w:p>
            <w:r>
              <w:t>3.1: Wrapper liquidity: unlisted tender-offer fund; no unitholder redemption right - repurchases only via written tenders at times/amounts/terms set by the Board in its sole discretion. CADENCE: Adviser and Sponsor anticipate</w:t>
              <w:br/>
              <w:t>3.2: Mechanics per live offer (SC TO-I filed 2026-08-03): tenders due 11:59 p.m. ET 2026-08-28; purchase price = class NAV as of Valuation Date 2026-09-30 (approx. one month after expiration); payment in cash or a non-interes</w:t>
              <w:br/>
              <w:t>3.3: As disclosed (recorded 2026-08-15): live offer (launched 2026-08-03, expires 2026-08-28) for up to 11,957,272 Units, approx. 5% of the 239,145,444 Units outstanding at 5/31/2026. Completed-tender dollars from N-CSR capit</w:t>
              <w:br/>
              <w:t xml:space="preserve">3.4: Master Fund holdings attributes table at 3/31/2026: every private investment category 'Not Redeemable', redemption frequency/notice N/A, remaining lives up to 12 years. Fair value $6,079,798,952 across Buyout $4,982.9M, </w:t>
            </w:r>
          </w:p>
        </w:tc>
      </w:tr>
      <w:tr>
        <w:tc>
          <w:tcPr>
            <w:tcW w:type="dxa" w:w="2016"/>
          </w:tcPr>
          <w:p>
            <w:r>
              <w:t>4 — Valuation</w:t>
            </w:r>
          </w:p>
        </w:tc>
        <w:tc>
          <w:tcPr>
            <w:tcW w:type="dxa" w:w="7344"/>
          </w:tcPr>
          <w:p>
            <w:r>
              <w:t>4.1: NAV FREQUENCY: monthly - NAV of the Master Fund and each class calculated as of close of business on the last business day of each calendar month, plus any distribution date and other Board-determined times ('Determinati</w:t>
              <w:br/>
              <w:t>4.2: Master Fund consolidated hierarchy at 3/31/2026: Level 1 $581,361,401 (common stock $48.1M + short-term other-investment-companies $533.3M); Level 2 $0; Level 3 $325,527,462 (co-investments $315.9M + primary funds $9.7M)</w:t>
              <w:br/>
              <w:t xml:space="preserve">4.3: PARTIAL: no independent valuation agent is NAMED and no standing engagement is disclosed. Printed capability only: the Master Fund 'may utilize' independent valuation firms for third-party valuation consulting; N-2 adds </w:t>
              <w:br/>
              <w:t>4.4: By asset type (Master Fund Note 1a + L3 quantitative table at 3/31/2026): direct investments/certain co-investments - market or income approach (techniques printed: recent round of financing/option pricing model with ter</w:t>
            </w:r>
          </w:p>
        </w:tc>
      </w:tr>
      <w:tr>
        <w:tc>
          <w:tcPr>
            <w:tcW w:type="dxa" w:w="2016"/>
          </w:tcPr>
          <w:p>
            <w:r>
              <w:t>5 — Performance Benchmarks</w:t>
            </w:r>
          </w:p>
        </w:tc>
        <w:tc>
          <w:tcPr>
            <w:tcW w:type="dxa" w:w="7344"/>
          </w:tcPr>
          <w:p>
            <w:r>
              <w:t>5.1: Self-declared comparison index in the annual report: MSCI World Index - used in both the cumulative-return graph (hypothetical $50,000,000 in Class 4 units vs the index) and the Average Annual Total Returns table (MSCI W</w:t>
              <w:br/>
              <w:t>5.3: Candidates evaluated incl. paid/manual indices and the real peer-cohort lane; full scoring + rejection ledger in the selection artifact.</w:t>
              <w:br/>
              <w:t>5.4: Peer cohort evergreen_pe (n=5): members, rationales, stats, composite (or its documented refusal) and caveat block in the cohort artifact; exclusions in data/roster_decisions.md.</w:t>
              <w:br/>
              <w:t>5.5: PME inputs (computed): window 2016-03-31 to 2026-03-31; flows [-1, 3.4461]; index daily-anchored. KS-PME 2.4551, Direct Alpha 9.4%/yr.</w:t>
            </w:r>
          </w:p>
        </w:tc>
      </w:tr>
      <w:tr>
        <w:tc>
          <w:tcPr>
            <w:tcW w:type="dxa" w:w="2016"/>
          </w:tcPr>
          <w:p>
            <w:r>
              <w:t>6 — Complexity</w:t>
            </w:r>
          </w:p>
        </w:tc>
        <w:tc>
          <w:tcPr>
            <w:tcW w:type="dxa" w:w="7344"/>
          </w:tcPr>
          <w:p>
            <w:r>
              <w:t>6.1: Master-feeder: AMG Pantheon Fund, LLC (Delaware LLC, closed-end non-diversified, perpetual term, five unit classes, CIK 1609211) is a feeder investing substantially all assets in AMG Pantheon Master Fund, LLC (affiliate;</w:t>
              <w:br/>
              <w:t>6.2: Evergreen private-equity vehicle, objective long-term capital appreciation; strategy mix at 3/31/2026 (Master SOI): secondaries $3,138.2M + co-investments $2,369.1M + primary funds $572.5M + common stock $48.1M + short-t</w:t>
              <w:br/>
              <w:t>6.3: Printed conflicts web: AMG (Affiliated Managers Group, Inc.) indirectly owns a majority of the Adviser (Pantheon); the Administrator (AMG Funds LLC, AMG's US wealth platform) and Distributor (AMG Distributors, Inc., whol</w:t>
              <w:br/>
              <w:t>6.4: Form 1099-DIV literally printed (Other Tax Information): investors receive Form 1099-DIV showing the tax status of distributions - no K-1. Fund qualifies as a regulated investment company under Subchapter M (tax year end</w:t>
            </w:r>
          </w:p>
        </w:tc>
      </w:tr>
    </w:tbl>
    <w:p>
      <w:pPr>
        <w:pStyle w:val="Heading1"/>
      </w:pPr>
      <w:r>
        <w:t>Benchmark selection and justification</w:t>
      </w:r>
    </w:p>
    <w:p>
      <w:pPr>
        <w:pStyle w:val="Heading2"/>
      </w:pPr>
      <w:r>
        <w:t>Primary: Listed private equity investable proxy (PSP) — score 9/12</w:t>
      </w:r>
    </w:p>
    <w:p>
      <w:r>
        <w:t>Window 2016-03-31 to 2026-03-31: fund 13.17%/yr vs benchmark 3.45%/yr; KS-PME 2.4551; Direct Alpha 9.4%/yr. Disclosure: PME and alpha computed on appraisal-lagged NAVs are window-sensitive and can be smoothing-flattered; conclusions should be read with the methodology's window-sensitivity analysis.</w:t>
      </w:r>
    </w:p>
    <w:p>
      <w:pPr>
        <w:pStyle w:val="ListBullet"/>
      </w:pPr>
      <w:r>
        <w:t>strategy_match 2/3: listed GPs/holdcos - PE exposure with public-market beta</w:t>
      </w:r>
    </w:p>
    <w:p>
      <w:pPr>
        <w:pStyle w:val="ListBullet"/>
      </w:pPr>
      <w:r>
        <w:t>risk_liquidity_match 1/3: daily-liquid proxy vs semi-liquid fund - vol/liquidity regimes differ</w:t>
      </w:r>
    </w:p>
    <w:p>
      <w:pPr>
        <w:pStyle w:val="ListBullet"/>
      </w:pPr>
      <w:r>
        <w:t>investability 2/2: investable, priced daily</w:t>
      </w:r>
    </w:p>
    <w:p>
      <w:pPr>
        <w:pStyle w:val="ListBullet"/>
      </w:pPr>
      <w:r>
        <w:t>data_quality 2/2: daily series</w:t>
      </w:r>
    </w:p>
    <w:p>
      <w:pPr>
        <w:pStyle w:val="ListBullet"/>
      </w:pPr>
      <w:r>
        <w:t>provider_independence 2/2: provider unaffiliated with the fund</w:t>
      </w:r>
    </w:p>
    <w:p>
      <w:pPr>
        <w:pStyle w:val="Heading2"/>
      </w:pPr>
      <w:r>
        <w:t>Secondary: MSCI World investable proxy (URTH) — score 8/12</w:t>
      </w:r>
    </w:p>
    <w:p>
      <w:r>
        <w:t>Window 2016-03-31 to 2026-03-31: fund 13.17%/yr vs benchmark 8.61%/yr; KS-PME 1.5085; Direct Alpha 4.2%/yr. Disclosure: PME and alpha computed on appraisal-lagged NAVs are window-sensitive and can be smoothing-flattered; conclusions should be read with the methodology's window-sensitivity analysis.</w:t>
      </w:r>
    </w:p>
    <w:p>
      <w:pPr>
        <w:pStyle w:val="ListBullet"/>
      </w:pPr>
      <w:r>
        <w:t>strategy_match 1/3: public equities - liquidity/leverage profile differs materially</w:t>
      </w:r>
    </w:p>
    <w:p>
      <w:pPr>
        <w:pStyle w:val="ListBullet"/>
      </w:pPr>
      <w:r>
        <w:t>risk_liquidity_match 1/3: daily-liquid proxy vs semi-liquid fund - vol/liquidity regimes differ</w:t>
      </w:r>
    </w:p>
    <w:p>
      <w:pPr>
        <w:pStyle w:val="ListBullet"/>
      </w:pPr>
      <w:r>
        <w:t>investability 2/2: investable, priced daily</w:t>
      </w:r>
    </w:p>
    <w:p>
      <w:pPr>
        <w:pStyle w:val="ListBullet"/>
      </w:pPr>
      <w:r>
        <w:t>data_quality 2/2: daily series</w:t>
      </w:r>
    </w:p>
    <w:p>
      <w:pPr>
        <w:pStyle w:val="ListBullet"/>
      </w:pPr>
      <w:r>
        <w:t>provider_independence 2/2: provider unaffiliated with the fund</w:t>
      </w:r>
    </w:p>
    <w:p>
      <w:pPr>
        <w:pStyle w:val="Heading2"/>
      </w:pPr>
      <w:r>
        <w:t>Rejection log (candidates considered and not selected)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456"/>
          </w:tcPr>
          <w:p>
            <w:r>
              <w:t>Candidate</w:t>
            </w:r>
          </w:p>
        </w:tc>
        <w:tc>
          <w:tcPr>
            <w:tcW w:type="dxa" w:w="1152"/>
          </w:tcPr>
          <w:p>
            <w:r>
              <w:t>Score</w:t>
            </w:r>
          </w:p>
        </w:tc>
        <w:tc>
          <w:tcPr>
            <w:tcW w:type="dxa" w:w="4752"/>
          </w:tcPr>
          <w:p>
            <w:r>
              <w:t>Reason</w:t>
            </w:r>
          </w:p>
        </w:tc>
      </w:tr>
      <w:tr>
        <w:tc>
          <w:tcPr>
            <w:tcW w:type="dxa" w:w="3456"/>
          </w:tcPr>
          <w:p>
            <w:r>
              <w:t>PME / Direct Alpha vs PSP</w:t>
            </w:r>
          </w:p>
        </w:tc>
        <w:tc>
          <w:tcPr>
            <w:tcW w:type="dxa" w:w="1152"/>
          </w:tcPr>
          <w:p>
            <w:r>
              <w:t>8/12</w:t>
            </w:r>
          </w:p>
        </w:tc>
        <w:tc>
          <w:tcPr>
            <w:tcW w:type="dxa" w:w="4752"/>
          </w:tcPr>
          <w:p>
            <w:r>
              <w:t>outranked: score 8/12 vs primary 9/12 and secondary 8/12 - only two slots; retained in log as viable alternate</w:t>
            </w:r>
          </w:p>
        </w:tc>
      </w:tr>
      <w:tr>
        <w:tc>
          <w:tcPr>
            <w:tcW w:type="dxa" w:w="3456"/>
          </w:tcPr>
          <w:p>
            <w:r>
              <w:t>Cambridge Associates US PE benchmark</w:t>
            </w:r>
          </w:p>
        </w:tc>
        <w:tc>
          <w:tcPr>
            <w:tcW w:type="dxa" w:w="1152"/>
          </w:tcPr>
          <w:p>
            <w:r>
              <w:t>7/12</w:t>
            </w:r>
          </w:p>
        </w:tc>
        <w:tc>
          <w:tcPr>
            <w:tcW w:type="dxa" w:w="4752"/>
          </w:tcPr>
          <w:p>
            <w:r>
              <w:t>outranked: score 7/12 vs primary 9/12 and secondary 8/12 - only two slots; retained in log as viable alternate</w:t>
            </w:r>
          </w:p>
        </w:tc>
      </w:tr>
      <w:tr>
        <w:tc>
          <w:tcPr>
            <w:tcW w:type="dxa" w:w="3456"/>
          </w:tcPr>
          <w:p>
            <w:r>
              <w:t>Peer cohort: evergreen_pe (hl_paf, stepstone_spm, kkr_kpec, ares_pmf, amg_pantheon)</w:t>
            </w:r>
          </w:p>
        </w:tc>
        <w:tc>
          <w:tcPr>
            <w:tcW w:type="dxa" w:w="1152"/>
          </w:tcPr>
          <w:p>
            <w:r>
              <w:t>7/12</w:t>
            </w:r>
          </w:p>
        </w:tc>
        <w:tc>
          <w:tcPr>
            <w:tcW w:type="dxa" w:w="4752"/>
          </w:tcPr>
          <w:p>
            <w:r>
              <w:t>outranked: score 7/12 vs primary 9/12 and secondary 8/12 - only two slots; retained in log as viable alternate</w:t>
            </w:r>
          </w:p>
        </w:tc>
      </w:tr>
    </w:tbl>
    <w:p>
      <w:pPr>
        <w:pStyle w:val="Heading1"/>
      </w:pPr>
      <w:r>
        <w:t>Provenance</w:t>
      </w:r>
    </w:p>
    <w:p>
      <w:r>
        <w:t>Every populated cell carries its source document, section, quote, extractor and verifier in data/evidence/. Current cell status for this product: computed: 8, extracted: 27, fetched: 1, n/a: 16, partial: 2. Cells marked extracted-unverified or computed await independent verification; verified cells have been independently re-checked.</w:t>
      </w:r>
    </w:p>
    <w:p>
      <w:r>
        <w:t>Data sources include SEC EDGAR filings (see data/manifest.csv) and DOL EBSA Form 5500 bulk data. Sponsor name NEVER appears on demo surfaces. Data is public (DOL Form 5500 FOIA files); anonymization is a project display rule, not a legal requirement.</w:t>
      </w:r>
    </w:p>
    <w:p>
      <w:pPr>
        <w:jc w:val="left"/>
      </w:pPr>
      <w:r>
        <w:br/>
        <w:t>Prepared by: ______________________    Reviewed by: ______________________    Date: ____________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