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(lane C) as constructed by the engine: no same-strategy interval-credit peer in the six-product universe (peer lane scored 0 investability/data). Universe = this roster; a market-wide peer database is license</w:t>
              <w:br/>
              <w:t>5.5: PME inputs (computed, primary comparison): window 2019-06-05 to 2026-07-17; fund growth 1.7165x vs index 1.3697x (daily-anchored); flows = [-1 at window start, terminal growth at end]; index = BKLN adj close. KS-PME 1.25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