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Designated Investment Alternative Evaluation — Decision Memo</w:t>
      </w:r>
    </w:p>
    <w:p>
      <w:r>
        <w:rPr>
          <w:b/>
        </w:rPr>
        <w:t>Plan: US media/technology company 401(k) plan (~$570M, New York)</w:t>
        <w:br/>
      </w:r>
      <w:r>
        <w:t>Product: Destiny Tech100 Inc (listed closed-end fund (NYSE: DXYZ), CIK 1843974)</w:t>
        <w:br/>
      </w:r>
      <w:r>
        <w:t>Date: 2026-09-04    Status: DRAFT — demo build; cells marked extracted-unverified pend independent verification.</w:t>
      </w:r>
    </w:p>
    <w:p>
      <w:pPr>
        <w:pStyle w:val="Heading1"/>
      </w:pPr>
      <w:r>
        <w:t>Regulatory basis</w:t>
      </w:r>
    </w:p>
    <w:p>
      <w:r>
        <w:t>DOL proposed rule, Fiduciary Duties in Selecting Designated Investment Alternatives, 91 FR 16088 (Mar. 31, 2026), RIN 1210-AC38</w:t>
      </w:r>
    </w:p>
    <w:p>
      <w:r>
        <w:t>This memo documents an evaluation of the product below as a potential designated investment alternative (DIA) for the plan, structured on the six factors of the proposed rule: performance, fees and expenses, liquidity, valuation, performance benchmarks, and complexity. The proposed safe harbor attaches to a documented, objective, thorough and analytical process; this memo and its underlying evidence files constitute that record.</w:t>
      </w:r>
    </w:p>
    <w:p>
      <w:r>
        <w:t>On benchmarks, the proposal requires comparison against a meaningful benchmark and acknowledges that no single benchmark is meaningful for every DIA; where none exists, the history of a similar type of investment may serve. The benchmark section below therefore documents the selection AND the rejections: every candidate considered, its score, and the true reason it was or was not chosen. Note: the pleading standard for benchmark-based claims is before the Supreme Court in Anderson v. Intel (argument expected October Term 2026); this memo's approach is designed to be defensible under either outcome.</w:t>
      </w:r>
    </w:p>
    <w:p>
      <w:pPr>
        <w:pStyle w:val="Heading1"/>
      </w:pPr>
      <w:r>
        <w:t>Six-factor findings (summary)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16"/>
          </w:tcPr>
          <w:p>
            <w:r>
              <w:t>Factor</w:t>
            </w:r>
          </w:p>
        </w:tc>
        <w:tc>
          <w:tcPr>
            <w:tcW w:type="dxa" w:w="7344"/>
          </w:tcPr>
          <w:p>
            <w:r>
              <w:t>Key findings (cell: value)</w:t>
            </w:r>
          </w:p>
        </w:tc>
      </w:tr>
      <w:tr>
        <w:tc>
          <w:tcPr>
            <w:tcW w:type="dxa" w:w="2016"/>
          </w:tcPr>
          <w:p>
            <w:r>
              <w:t>1 — Performance</w:t>
            </w:r>
          </w:p>
        </w:tc>
        <w:tc>
          <w:tcPr>
            <w:tcW w:type="dxa" w:w="7344"/>
          </w:tcPr>
          <w:p>
            <w:r>
              <w:t>1.1: NAV per share, FY-end (common stock, sole class): FY2022 $5.22, FY2023 $4.84, FY2024 $6.44, FY2025 $19.93; beginning NAV 1/1/2022 was NEGATIVE $(1.60). Total Return on Net Asset Value: FY2022 426.08% (footnote 5: compute</w:t>
              <w:br/>
              <w:t>1.2: Total Return on MARKET VALUE: +613.45% (2024, listing year) then (47.96)% (2025) - the premium/discount pathology quantified in the fund's own highlights. NAV-based returns pending table read.</w:t>
              <w:br/>
              <w:t>1.3: No gross-vs-net spread exists: the Financial Highlights print a SINGLE expense line, 'Ratio of expenses to average net assets' — 4.53% (FY2025), 6.28% (FY2024), 5.92% (FY2023), 5.13% (FY2022) — with no before/after-waive</w:t>
              <w:br/>
              <w:t xml:space="preserve">1.4: No distributions ever paid through FY2025. N-CSR Note 8 (Tax): 'There were no distributions for the period ended December 31, 2025'; tax-character table prints Ordinary Income $— and Total Distributions Paid $— for both </w:t>
            </w:r>
          </w:p>
        </w:tc>
      </w:tr>
      <w:tr>
        <w:tc>
          <w:tcPr>
            <w:tcW w:type="dxa" w:w="2016"/>
          </w:tcPr>
          <w:p>
            <w:r>
              <w:t>2 — Fees</w:t>
            </w:r>
          </w:p>
        </w:tc>
        <w:tc>
          <w:tcPr>
            <w:tcW w:type="dxa" w:w="7344"/>
          </w:tcPr>
          <w:p>
            <w:r>
              <w:t>2.1: CORRECTED per crosscheck: Revised Base Management Fee IN FORCE since NYSE listing (3/26/2024): 0.625% per QUARTER = 2.50% annualized of average GROSS assets INCLUDING assets purchased with borrowings - the leverage-inclu</w:t>
              <w:br/>
              <w:t>2.2: NO incentive/performance fee at the fund level — absence documented three ways: (1) the advisory-agreement compensation statement prints ONLY the Management Fee (2.50% annualized of average gross assets, payable quarterl</w:t>
              <w:br/>
              <w:t>2.3: Expense ratio 4.53% of avg net assets (FY2025); prior years 6.28 / 5.92 / 5.13. Net assets $438.0M at 12/31/2025 (vs $70.0M a year prior - the 2025 ATM raise, ~$324M net proceeds).</w:t>
              <w:br/>
              <w:t>2.4: AFFE line present in the 424B5 fee table ('Annual expenses', estimates for current fiscal year, % of net assets attributable to common stock): Acquired Fund Fees and Expenses 0.03% (footnote 3: 'Acquired Fund Fees and Ex</w:t>
            </w:r>
          </w:p>
        </w:tc>
      </w:tr>
      <w:tr>
        <w:tc>
          <w:tcPr>
            <w:tcW w:type="dxa" w:w="2016"/>
          </w:tcPr>
          <w:p>
            <w:r>
              <w:t>3 — Liquidity</w:t>
            </w:r>
          </w:p>
        </w:tc>
        <w:tc>
          <w:tcPr>
            <w:tcW w:type="dxa" w:w="7344"/>
          </w:tcPr>
          <w:p>
            <w:r>
              <w:t>3.1: Listed CEF: NYSE since March 26, 2024, ticker DXYZ; daily on-exchange liquidity; no fund-level repurchase program. ('No fund-level repurchase program' is an inference from absence - the word repurchase appears nowhere in</w:t>
              <w:br/>
              <w:t>3.4: As of 12/31/2025 (N-CSR fair value hierarchy): total investments $428,897,451 = Level 1 $203,457,292 (incl. money market $200,873,326), Level 2 $0, Level 3 $224,274,823 (common stocks $23,999,768; preferred stocks $42,55</w:t>
              <w:br/>
              <w:t>3.6: No borrowings, no credit facility, no preferred: (1) N-CSR balance sheet (12/31/2025) Total Liabilities $3,323,215 consist entirely of operating payables (management fees $1,891,641; professional $687,752; investments pu</w:t>
              <w:br/>
              <w:t>3.7: Plan-side demand profile (Form 5500 PY2024): 1,847 separated-with-balances = 36.1% of 5,120 accounts - the near-term liquidity tail; 3,281 active; zero retirees in pay status; 404(c) fully participant-directed.</w:t>
            </w:r>
          </w:p>
        </w:tc>
      </w:tr>
      <w:tr>
        <w:tc>
          <w:tcPr>
            <w:tcW w:type="dxa" w:w="2016"/>
          </w:tcPr>
          <w:p>
            <w:r>
              <w:t>4 — Valuation</w:t>
            </w:r>
          </w:p>
        </w:tc>
        <w:tc>
          <w:tcPr>
            <w:tcW w:type="dxa" w:w="7344"/>
          </w:tcPr>
          <w:p>
            <w:r>
              <w:t>4.1: Valuation: Board has appointed the Adviser (Destiny Advisors LLC) as 'Valuation Designee' under Rule 2a-5 to perform fair value determinations, applying ASC 820 (Income and Market Approaches); the Adviser, with input fro</w:t>
              <w:br/>
              <w:t>4.2: PARTIAL: portfolio predominantly Level 3 - 'Level 3 securities fair valued using significant unobservable inputs' (SOI footnote b); dollar hierarchy table pending read.</w:t>
              <w:br/>
              <w:t>4.3: Independent valuation agent exists but is NOT NAMED in any on-disk dxyz filing. N-CSR Note 3 (Fair Value Measurements) states securities lacking available pricing 'may be valued by an independent reputable third-party se</w:t>
              <w:br/>
              <w:t>4.4: Level 3 quantitative inputs table (N-CSR Note 3, as of 12/31/2025; fair value / technique / unobservable input / range(avg)): COMMON STOCKS $23,999,768 across 7 buckets — Market Approach: VWAP transaction prices $341,318</w:t>
            </w:r>
          </w:p>
        </w:tc>
      </w:tr>
      <w:tr>
        <w:tc>
          <w:tcPr>
            <w:tcW w:type="dxa" w:w="2016"/>
          </w:tcPr>
          <w:p>
            <w:r>
              <w:t>5 — Performance Benchmarks</w:t>
            </w:r>
          </w:p>
        </w:tc>
        <w:tc>
          <w:tcPr>
            <w:tcW w:type="dxa" w:w="7344"/>
          </w:tcPr>
          <w:p>
            <w:r>
              <w:t>5.1: YES — the Fund itself declares the NASDAQ Composite Index as its benchmark, in two places in the N-CSR: (1) Manager's Commentary: FY2025 NAV +209.59% 'compares to a 20.36% return for the Nasdaq Composite, a benchmark'; (</w:t>
              <w:br/>
              <w:t>5.3: Alt asset-class index candidates evaluated by the engine (incl. paid/manual ones deliberately kept in the menu and rejected with reasons): Listed private equity proxy (PSP) - REJECTED: fund price is premium/discount-driv</w:t>
              <w:br/>
              <w:t xml:space="preserve">5.4: Peer cohort venture (n=3: dxyz, ssss, arkvx). Composite REFUSED: members' pricing bases are heterogeneous (market price vs NAV); an equal-weight composite would average premium/discount dynamics against appraisal NAVs - </w:t>
              <w:br/>
              <w:t>5.5: No PME inputs constructible: engine escalated (premium-driven price series; see 1.8/5.3). The refusal and its reason ARE the documented output.</w:t>
            </w:r>
          </w:p>
        </w:tc>
      </w:tr>
      <w:tr>
        <w:tc>
          <w:tcPr>
            <w:tcW w:type="dxa" w:w="2016"/>
          </w:tcPr>
          <w:p>
            <w:r>
              <w:t>6 — Complexity</w:t>
            </w:r>
          </w:p>
        </w:tc>
        <w:tc>
          <w:tcPr>
            <w:tcW w:type="dxa" w:w="7344"/>
          </w:tcPr>
          <w:p>
            <w:r>
              <w:t>6.1: Maryland corporation formed November 18, 2020; commenced operations January 25, 2021; registered with SEC as an investment company May 13, 2022; non-diversified closed-end management investment company under the 1940 Act</w:t>
              <w:br/>
              <w:t xml:space="preserve">6.2: Objective: maximize total return principally via capital gains on equity/equity-related investments in what it believes to be 100 of the top venture-backed private technology companies. 80% policy: &gt;=80% of total assets </w:t>
              <w:br/>
              <w:t>6.3: Conflicts (424B5 'Potential conflicts of interest'): Adviser's team manages/may manage other vehicles; Mr. Prasad co-founded S2 Capital, which invested in early-stage tech companies the Fund may also seek to invest in, s</w:t>
              <w:br/>
              <w:t>6.4: PARTIAL: tax form NOT explicitly named in on-disk filings - searched N-CSR 2026-03-10, 424B5 2026-05-26, 424B3 2026-05-12 and N-2-A 2025-07-10 for '1099' / 'K-1' / 'Schedule K': zero hits. What IS printed: fund elected R</w:t>
            </w:r>
          </w:p>
        </w:tc>
      </w:tr>
    </w:tbl>
    <w:p>
      <w:pPr>
        <w:pStyle w:val="Heading1"/>
      </w:pPr>
      <w:r>
        <w:t>Benchmark selection and justification</w:t>
      </w:r>
    </w:p>
    <w:p>
      <w:pPr>
        <w:pStyle w:val="Heading2"/>
      </w:pPr>
      <w:r>
        <w:t>ESCALATION — no meaningful benchmark constructible</w:t>
      </w:r>
    </w:p>
    <w:p>
      <w:r>
        <w:t>NO MEANINGFUL BENCHMARK CONSTRUCTIBLE from available data. Required next: public NAV series (quarterly filings) plus a premium/NAV decomposition before any comparator is defensible.</w:t>
      </w:r>
    </w:p>
    <w:p>
      <w:r>
        <w:t>Under the proposal's own terms, a benchmark that is not meaningful cannot support the comparison; proceeding without one documented here would undercut the safe harbor. Recommended action: do not proceed pending the data steps above; retain this memo as the record of the determination.</w:t>
      </w:r>
    </w:p>
    <w:p>
      <w:pPr>
        <w:pStyle w:val="Heading2"/>
      </w:pPr>
      <w:r>
        <w:t>Rejection log (candidates considered and not selected)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456"/>
          </w:tcPr>
          <w:p>
            <w:r>
              <w:t>Candidate</w:t>
            </w:r>
          </w:p>
        </w:tc>
        <w:tc>
          <w:tcPr>
            <w:tcW w:type="dxa" w:w="1152"/>
          </w:tcPr>
          <w:p>
            <w:r>
              <w:t>Score</w:t>
            </w:r>
          </w:p>
        </w:tc>
        <w:tc>
          <w:tcPr>
            <w:tcW w:type="dxa" w:w="4752"/>
          </w:tcPr>
          <w:p>
            <w:r>
              <w:t>Reason</w:t>
            </w:r>
          </w:p>
        </w:tc>
      </w:tr>
      <w:tr>
        <w:tc>
          <w:tcPr>
            <w:tcW w:type="dxa" w:w="3456"/>
          </w:tcPr>
          <w:p>
            <w:r>
              <w:t>Listed private equity proxy (PSP)</w:t>
            </w:r>
          </w:p>
        </w:tc>
        <w:tc>
          <w:tcPr>
            <w:tcW w:type="dxa" w:w="1152"/>
          </w:tcPr>
          <w:p>
            <w:r>
              <w:t>7/12</w:t>
            </w:r>
          </w:p>
        </w:tc>
        <w:tc>
          <w:tcPr>
            <w:tcW w:type="dxa" w:w="4752"/>
          </w:tcPr>
          <w:p>
            <w:r>
              <w:t>fund price is premium/discount-driven and decoupled from NAV; benchmarking the price benchmarks the premium, not the portfolio</w:t>
            </w:r>
          </w:p>
        </w:tc>
      </w:tr>
      <w:tr>
        <w:tc>
          <w:tcPr>
            <w:tcW w:type="dxa" w:w="3456"/>
          </w:tcPr>
          <w:p>
            <w:r>
              <w:t>S&amp;P 500 investable proxy (SPY)</w:t>
            </w:r>
          </w:p>
        </w:tc>
        <w:tc>
          <w:tcPr>
            <w:tcW w:type="dxa" w:w="1152"/>
          </w:tcPr>
          <w:p>
            <w:r>
              <w:t>6/12</w:t>
            </w:r>
          </w:p>
        </w:tc>
        <w:tc>
          <w:tcPr>
            <w:tcW w:type="dxa" w:w="4752"/>
          </w:tcPr>
          <w:p>
            <w:r>
              <w:t>fund price is premium/discount-driven and decoupled from NAV; benchmarking the price benchmarks the premium, not the portfolio</w:t>
            </w:r>
          </w:p>
        </w:tc>
      </w:tr>
      <w:tr>
        <w:tc>
          <w:tcPr>
            <w:tcW w:type="dxa" w:w="3456"/>
          </w:tcPr>
          <w:p>
            <w:r>
              <w:t>Peer cohort: venture (dxyz, ssss, arkvx)</w:t>
            </w:r>
          </w:p>
        </w:tc>
        <w:tc>
          <w:tcPr>
            <w:tcW w:type="dxa" w:w="1152"/>
          </w:tcPr>
          <w:p>
            <w:r>
              <w:t>5/12</w:t>
            </w:r>
          </w:p>
        </w:tc>
        <w:tc>
          <w:tcPr>
            <w:tcW w:type="dxa" w:w="4752"/>
          </w:tcPr>
          <w:p>
            <w:r>
              <w:t>fund price is premium/discount-driven and decoupled from NAV; benchmarking the price benchmarks the premium, not the portfolio</w:t>
            </w:r>
          </w:p>
        </w:tc>
      </w:tr>
    </w:tbl>
    <w:p>
      <w:pPr>
        <w:pStyle w:val="Heading1"/>
      </w:pPr>
      <w:r>
        <w:t>Peer cohort placement</w:t>
      </w:r>
    </w:p>
    <w:p>
      <w:r>
        <w:t>Evidence depth tier: FULL. Cohort: Pre-IPO / venture growth (listed CEF + listed BDC + interval fund) (n=3). Membership rationale: Listed CEF holding pre-IPO tech - the premium-pricing fail case; the cohort exists to show premium vs NAV pricing as a PATTERN.</w:t>
      </w:r>
    </w:p>
    <w:p>
      <w:r>
        <w:t>Cohort placement (venture, R4 phrasing): mgmt fee: at the cohort median of 2.5 (n=3 — too small for percentile language) | expense ratio (bases differ - see notes): at the cohort median of 4.53 (n=3 — too small for percentile language) | repurchase cap: fact unavailable for this member. Stats + caveats in the cohort artifact; the prior universe-of-6 percentile is superseded by cohort placement.</w:t>
      </w:r>
    </w:p>
    <w:p>
      <w:r>
        <w:t>Cohort composite: REFUSED — members' pricing bases are heterogeneous (market price vs NAV); an equal-weight composite would average premium/discount dynamics against appraisal NAVs - refused, not fudged</w:t>
      </w:r>
    </w:p>
    <w:p>
      <w:pPr>
        <w:pStyle w:val="ListBullet"/>
      </w:pPr>
      <w:r>
        <w:t>Caveat: PRICING-BASIS MIX: some members transact at NAV, others at exchange market price - return comparisons mix appraisal dynamics with premium/discount dynamics; composites across this line are refused, not averaged. [arkvx: NAV; dxyz: MARKET PRICE - premium/discount to NAV is the investor's actual basis; ssss: MARKET PRICE - premium/discount to NAV is the investor's actual basis]</w:t>
      </w:r>
    </w:p>
    <w:p>
      <w:pPr>
        <w:pStyle w:val="ListBullet"/>
      </w:pPr>
      <w:r>
        <w:t>Caveat: LEVERAGE-REGIME MIX: BDC 150% coverage and non-1940-Act wrappers allow materially more leverage than 1940-Act funds - fee bases and return volatility are not like-for-like. [arkvx: 1940-Act asset-coverage limits; dxyz: 1940-Act limits; ssss: BDC 150% asset-coverage regime]</w:t>
      </w:r>
    </w:p>
    <w:p>
      <w:pPr>
        <w:pStyle w:val="ListBullet"/>
      </w:pPr>
      <w:r>
        <w:t>Caveat: LIQUIDITY-LAW MIX: Rule 23c-3 obligations, discretionary tenders, and repurchase plans give different worst-case exit rights; cadence numbers alone overstate comparability. [arkvx: Rule 23c-3 OBLIGATION (board cannot skip a window); dxyz: continuous exchange dealing; ssss: continuous exchange dealing]</w:t>
      </w:r>
    </w:p>
    <w:p>
      <w:pPr>
        <w:pStyle w:val="ListBullet"/>
      </w:pPr>
      <w:r>
        <w:t>Caveat: NAV-CADENCE MIX: daily, monthly, and quarterly NAV processes embed different appraisal smoothing; volatility and drawdown comparisons inherit that difference (see de-smoothing lab). [arkvx: daily NAV; dxyz: quarterly filed NAV; ssss: quarterly NAV determinations]</w:t>
      </w:r>
    </w:p>
    <w:p>
      <w:r>
        <w:t>Cohort exclusion log: every candidate considered and not admitted is recorded with its reason in data/roster_decisions.md (rendered on the site's Cohorts view). Membership is an argued judgment, not a tag.</w:t>
      </w:r>
    </w:p>
    <w:p>
      <w:pPr>
        <w:pStyle w:val="Heading1"/>
      </w:pPr>
      <w:r>
        <w:t>Provenance</w:t>
      </w:r>
    </w:p>
    <w:p>
      <w:r>
        <w:t>Every populated cell carries its source document, section, quote, extractor and verifier in data/evidence/. Current cell status for this product: computed: 12, extracted: 24, fetched: 1, n/a: 15, partial: 2. Cells marked extracted-unverified or computed await independent verification; verified cells have been independently re-checked. Cells marked structured come directly from machine-readable regulatory data (N-CEN structured datasets, XBRL company facts) with the source dataset cited; no model judgment is involved.</w:t>
      </w:r>
    </w:p>
    <w:p>
      <w:r>
        <w:t>Data sources include SEC EDGAR filings (see data/manifest.csv) and DOL EBSA Form 5500 bulk data. Sponsor name NEVER appears on demo surfaces. Data is public (DOL Form 5500 FOIA files); anonymization is a project display rule, not a legal requirement.</w:t>
      </w:r>
    </w:p>
    <w:p>
      <w:pPr>
        <w:jc w:val="left"/>
      </w:pPr>
      <w:r>
        <w:br/>
        <w:t>Prepared by: ______________________    Reviewed by: ______________________    Date: ____________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