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Designated Investment Alternative Evaluation — Decision Memo</w:t>
      </w:r>
    </w:p>
    <w:p>
      <w:r>
        <w:rPr>
          <w:b/>
        </w:rPr>
        <w:t>Plan: US media/technology company 401(k) plan (~$570M, New York)</w:t>
        <w:br/>
      </w:r>
      <w:r>
        <w:t>Product: Neostellar Capital Corp. (fka SuRo Capital Corp., SSSS) (LISTED BDC (exchange-traded; pre-IPO growth holdings), CIK 1509470)</w:t>
        <w:br/>
      </w:r>
      <w:r>
        <w:t>Date: 2026-09-04    Status: DRAFT — demo build; cells marked extracted-unverified pend independent verification.</w:t>
      </w:r>
    </w:p>
    <w:p>
      <w:pPr>
        <w:pStyle w:val="Heading1"/>
      </w:pPr>
      <w:r>
        <w:t>Regulatory basis</w:t>
      </w:r>
    </w:p>
    <w:p>
      <w:r>
        <w:t>DOL proposed rule, Fiduciary Duties in Selecting Designated Investment Alternatives, 91 FR 16088 (Mar. 31, 2026), RIN 1210-AC38</w:t>
      </w:r>
    </w:p>
    <w:p>
      <w:r>
        <w:t>This memo documents an evaluation of the product below as a potential designated investment alternative (DIA) for the plan, structured on the six factors of the proposed rule: performance, fees and expenses, liquidity, valuation, performance benchmarks, and complexity. The proposed safe harbor attaches to a documented, objective, thorough and analytical process; this memo and its underlying evidence files constitute that record.</w:t>
      </w:r>
    </w:p>
    <w:p>
      <w:r>
        <w:t>On benchmarks, the proposal requires comparison against a meaningful benchmark and acknowledges that no single benchmark is meaningful for every DIA; where none exists, the history of a similar type of investment may serve. The benchmark section below therefore documents the selection AND the rejections: every candidate considered, its score, and the true reason it was or was not chosen. Note: the pleading standard for benchmark-based claims is before the Supreme Court in Anderson v. Intel (argument expected October Term 2026); this memo's approach is designed to be defensible under either outcome.</w:t>
      </w:r>
    </w:p>
    <w:p>
      <w:pPr>
        <w:pStyle w:val="Heading1"/>
      </w:pPr>
      <w:r>
        <w:t>Six-factor findings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</w:tcPr>
          <w:p>
            <w:r>
              <w:t>Factor</w:t>
            </w:r>
          </w:p>
        </w:tc>
        <w:tc>
          <w:tcPr>
            <w:tcW w:type="dxa" w:w="7344"/>
          </w:tcPr>
          <w:p>
            <w:r>
              <w:t>Key findings (cell: value)</w:t>
            </w:r>
          </w:p>
        </w:tc>
      </w:tr>
      <w:tr>
        <w:tc>
          <w:tcPr>
            <w:tcW w:type="dxa" w:w="2016"/>
          </w:tcPr>
          <w:p>
            <w:r>
              <w:t>1 — Performance</w:t>
            </w:r>
          </w:p>
        </w:tc>
        <w:tc>
          <w:tcPr>
            <w:tcW w:type="dxa" w:w="7344"/>
          </w:tcPr>
          <w:p>
            <w:r>
              <w:t>1.1: Net (after-expense) total return series, single common class, as printed in Note 8 Financial Highlights: NAV basis 2021 +30.25% / 2022 (36.01)% / 2023 +8.12% / 2024 (16.40)% / 2025 +28.59%; market-value basis 2021 +60.05</w:t>
              <w:br/>
              <w:t>1.2: Primary class = the single class of common stock; two printed bases: NAV total return and market-value total return (see 1.1 for the full calendar-year series 2021-2025 and H1-2026). No trailing 1/3/5/10-yr annualized re</w:t>
              <w:br/>
              <w:t>1.3: PARTIAL: no gross-of-fees return series is printed anywhere in the 10-K/10-Q/N-2 - only net 'Total return based on net asset value/market value'. What IS printed is the expense wedge: FY2025 ratio of net operating expens</w:t>
              <w:br/>
              <w:t>1.4: Full lifetime distribution table printed (formation through 12/31/2025): total $12.60/share declared. Episodic, gains-driven - not a yield product: FY2025 two $0.25 dividends (declared 7/3/2025 paid 7/31/2025 $5,972,027;</w:t>
            </w:r>
          </w:p>
        </w:tc>
      </w:tr>
      <w:tr>
        <w:tc>
          <w:tcPr>
            <w:tcW w:type="dxa" w:w="2016"/>
          </w:tcPr>
          <w:p>
            <w:r>
              <w:t>2 — Fees</w:t>
            </w:r>
          </w:p>
        </w:tc>
        <w:tc>
          <w:tcPr>
            <w:tcW w:type="dxa" w:w="7344"/>
          </w:tcPr>
          <w:p>
            <w:r>
              <w:t>2.1: CURRENT (from Effective Date 7/15/2026): Base Management Fee RATE 1.75% per annum; BASE = GROSS assets (leverage-inclusive fee base - includes assets bought with borrowings), payable monthly in arrears, computed on avera</w:t>
              <w:br/>
              <w:t>2.2: Two-part Incentive Fee (new with 7/15/2026 Externalization; none existed while internally managed). (a) Income-Based Fee, quarterly: hurdle 1.75%/quarter (7.00% annualized) on Pre-Incentive Fee Net Investment Income vs p</w:t>
              <w:br/>
              <w:t>2.3: Two regimes printed. HISTORY (internally managed, Note 8 highlights): net operating expenses/avg net assets 9.46% FY2025, 10.68% FY2024, 9.70% FY2023, 5.87% FY2022, 2.88% FY2021; H1-2026 12.88% annualized (includes accel</w:t>
              <w:br/>
              <w:t>2.4: AFFE line printed in the N-2 fee table: Acquired fund fees and expenses 0.06% of net assets attributable to common stock (estimate); footnote 10 defines it as 'the estimated indirect fees and expenses attributable to our</w:t>
            </w:r>
          </w:p>
        </w:tc>
      </w:tr>
      <w:tr>
        <w:tc>
          <w:tcPr>
            <w:tcW w:type="dxa" w:w="2016"/>
          </w:tcPr>
          <w:p>
            <w:r>
              <w:t>3 — Liquidity</w:t>
            </w:r>
          </w:p>
        </w:tc>
        <w:tc>
          <w:tcPr>
            <w:tcW w:type="dxa" w:w="7344"/>
          </w:tcPr>
          <w:p>
            <w:r>
              <w:t xml:space="preserve">3.1: Listed BDC: continuous intraday exchange liquidity on the Nasdaq Global Select Market - cadence: any trading day; cap: none (market depth only); base: market price, not NAV; mechanism: open-market sale through a broker. </w:t>
              <w:br/>
              <w:t>3.2: No shareholder redemption mechanics exist (exchange exit only). ISSUER-side: discretionary open-market Share Repurchase Program - announced 8/8/2017 at $5.0M, repeatedly extended/increased by the Board; most recently 10/</w:t>
              <w:br/>
              <w:t>3.3: As disclosed: NO gating events possible (no investor redemption right to gate) and no buyback activity recently - zero shares repurchased under the Share Repurchase Program in FY2025 and FY2024; Q4-2025 monthly table all</w:t>
              <w:br/>
              <w:t>3.4: Deeply illiquid asset base inside a liquid wrapper: at 6/30/2026, Level 3 = $404,132,245 of $405,851,701 total investments (99.6% - arithmetic); publicly traded portfolio companies just $1.7M. Blanket SOI legend: all por</w:t>
            </w:r>
          </w:p>
        </w:tc>
      </w:tr>
      <w:tr>
        <w:tc>
          <w:tcPr>
            <w:tcW w:type="dxa" w:w="2016"/>
          </w:tcPr>
          <w:p>
            <w:r>
              <w:t>4 — Valuation</w:t>
            </w:r>
          </w:p>
        </w:tc>
        <w:tc>
          <w:tcPr>
            <w:tcW w:type="dxa" w:w="7344"/>
          </w:tcPr>
          <w:p>
            <w:r>
              <w:t>4.1: QUARTERLY valuation cadence: 'The Company values its assets on a quarterly basis, or more frequently if required under the 1940 Act.' Board-determined fair value in good faith under Rule 2a-5 and ASC 820, assisted by a V</w:t>
              <w:br/>
              <w:t xml:space="preserve">4.2: Printed hierarchy (10-Q Note 4): at 6/30/2026 Level 1 $1,719,456 (public common stock + options) / Level 2 $0 / Level 3 $404,132,245 / total $405,851,701 - Level 3 = 99.6% (arithmetic). At 12/31/2025: L1 $4,209,263 / L2 </w:t>
              <w:br/>
              <w:t>4.3: Independent valuation firm IS engaged but NOT named in any of the three filings: engaged 'to perform independent valuations of our investments that are not publicly traded or for which there are no readily available mark</w:t>
              <w:br/>
              <w:t>4.4: Quantitative Level 3 inputs table printed (10-K, 12/31/2025): Preferred stock in private companies $169.6M - Market Approach (revenue multiples 0.52x-7.95x, wtd avg 3.47x; precedent transactions 25%-100%, wa 76%) + PWERM</w:t>
            </w:r>
          </w:p>
        </w:tc>
      </w:tr>
      <w:tr>
        <w:tc>
          <w:tcPr>
            <w:tcW w:type="dxa" w:w="2016"/>
          </w:tcPr>
          <w:p>
            <w:r>
              <w:t>5 — Performance Benchmarks</w:t>
            </w:r>
          </w:p>
        </w:tc>
        <w:tc>
          <w:tcPr>
            <w:tcW w:type="dxa" w:w="7344"/>
          </w:tcPr>
          <w:p>
            <w:r>
              <w:t>5.1: Self-declared comparison indices WITH a printed no-suitable-benchmark disclaimer: the 10-K Item 5 Performance Graph compares cumulative total stockholder return vs the S&amp;P 500 Stock Index and the Nasdaq Stock Index for t</w:t>
              <w:br/>
              <w:t>5.3: Engine escalated: candidates evaluated and ALL rejected with the decoupling reason; ledger in the selection artifact.</w:t>
              <w:br/>
              <w:t xml:space="preserve">5.4: Peer cohort venture (n=3: dxyz, ssss, arkvx). Composite REFUSED: members' pricing bases are heterogeneous (market price vs NAV); an equal-weight composite would average premium/discount dynamics against appraisal NAVs - </w:t>
              <w:br/>
              <w:t>5.5: No PME inputs constructible: engine escalation (premium-driven price). The refusal is the documented output.</w:t>
            </w:r>
          </w:p>
        </w:tc>
      </w:tr>
      <w:tr>
        <w:tc>
          <w:tcPr>
            <w:tcW w:type="dxa" w:w="2016"/>
          </w:tcPr>
          <w:p>
            <w:r>
              <w:t>6 — Complexity</w:t>
            </w:r>
          </w:p>
        </w:tc>
        <w:tc>
          <w:tcPr>
            <w:tcW w:type="dxa" w:w="7344"/>
          </w:tcPr>
          <w:p>
            <w:r>
              <w:t xml:space="preserve">6.1: Structure map: Maryland corporation (inc. 1/6/2011); non-diversified closed-end company electing BDC status under the 1940 Act; RIC under Subchapter M; single class of listed common stock (Nasdaq: NSLR, fka SSSS/GSVC) + </w:t>
              <w:br/>
              <w:t>6.2: Strategy: pre-IPO/late-stage growth equity in 'rapidly growing venture capital-backed emerging companies', acquired via direct rounds, private secondary marketplaces, selling-stockholder negotiations, and SPVs/funds; opp</w:t>
              <w:br/>
              <w:t>6.3: Dense post-Externalization conflict set, all printed: (1) Investment Advisory and Administration Agreements 'were not negotiated on an arm's-length basis' - adviser professionals who negotiated had economic interests; (2</w:t>
              <w:br/>
              <w:t xml:space="preserve">6.4: PARTIAL: the literal form name is NOT printed - the string '1099' appears zero times in all three on-disk filings (searched 10-K, 10-Q, N-2 on 2026-08-15); no K-1/partnership language exists either (corporate RIC, not a </w:t>
            </w:r>
          </w:p>
        </w:tc>
      </w:tr>
    </w:tbl>
    <w:p>
      <w:pPr>
        <w:pStyle w:val="Heading1"/>
      </w:pPr>
      <w:r>
        <w:t>Benchmark selection and justification</w:t>
      </w:r>
    </w:p>
    <w:p>
      <w:pPr>
        <w:pStyle w:val="Heading2"/>
      </w:pPr>
      <w:r>
        <w:t>ESCALATION — no meaningful benchmark constructible</w:t>
      </w:r>
    </w:p>
    <w:p>
      <w:r>
        <w:t>NO MEANINGFUL BENCHMARK CONSTRUCTIBLE from available data. Required next: public NAV series (quarterly filings) plus a premium/NAV decomposition before any comparator is defensible.</w:t>
      </w:r>
    </w:p>
    <w:p>
      <w:r>
        <w:t>Under the proposal's own terms, a benchmark that is not meaningful cannot support the comparison; proceeding without one documented here would undercut the safe harbor. Recommended action: do not proceed pending the data steps above; retain this memo as the record of the determination.</w:t>
      </w:r>
    </w:p>
    <w:p>
      <w:pPr>
        <w:pStyle w:val="Heading2"/>
      </w:pPr>
      <w:r>
        <w:t>Rejection log (candidates considered and not selected)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</w:tcPr>
          <w:p>
            <w:r>
              <w:t>Candidate</w:t>
            </w:r>
          </w:p>
        </w:tc>
        <w:tc>
          <w:tcPr>
            <w:tcW w:type="dxa" w:w="1152"/>
          </w:tcPr>
          <w:p>
            <w:r>
              <w:t>Score</w:t>
            </w:r>
          </w:p>
        </w:tc>
        <w:tc>
          <w:tcPr>
            <w:tcW w:type="dxa" w:w="4752"/>
          </w:tcPr>
          <w:p>
            <w:r>
              <w:t>Reason</w:t>
            </w:r>
          </w:p>
        </w:tc>
      </w:tr>
      <w:tr>
        <w:tc>
          <w:tcPr>
            <w:tcW w:type="dxa" w:w="3456"/>
          </w:tcPr>
          <w:p>
            <w:r>
              <w:t>Listed private equity proxy (PSP)</w:t>
            </w:r>
          </w:p>
        </w:tc>
        <w:tc>
          <w:tcPr>
            <w:tcW w:type="dxa" w:w="1152"/>
          </w:tcPr>
          <w:p>
            <w:r>
              <w:t>7/12</w:t>
            </w:r>
          </w:p>
        </w:tc>
        <w:tc>
          <w:tcPr>
            <w:tcW w:type="dxa" w:w="4752"/>
          </w:tcPr>
          <w:p>
            <w:r>
              <w:t>fund price is premium/discount-driven and decoupled from NAV; benchmarking the price benchmarks the premium, not the portfolio</w:t>
            </w:r>
          </w:p>
        </w:tc>
      </w:tr>
      <w:tr>
        <w:tc>
          <w:tcPr>
            <w:tcW w:type="dxa" w:w="3456"/>
          </w:tcPr>
          <w:p>
            <w:r>
              <w:t>S&amp;P 500 investable proxy (SPY)</w:t>
            </w:r>
          </w:p>
        </w:tc>
        <w:tc>
          <w:tcPr>
            <w:tcW w:type="dxa" w:w="1152"/>
          </w:tcPr>
          <w:p>
            <w:r>
              <w:t>6/12</w:t>
            </w:r>
          </w:p>
        </w:tc>
        <w:tc>
          <w:tcPr>
            <w:tcW w:type="dxa" w:w="4752"/>
          </w:tcPr>
          <w:p>
            <w:r>
              <w:t>fund price is premium/discount-driven and decoupled from NAV; benchmarking the price benchmarks the premium, not the portfolio</w:t>
            </w:r>
          </w:p>
        </w:tc>
      </w:tr>
      <w:tr>
        <w:tc>
          <w:tcPr>
            <w:tcW w:type="dxa" w:w="3456"/>
          </w:tcPr>
          <w:p>
            <w:r>
              <w:t>Peer cohort: venture (dxyz, ssss, arkvx)</w:t>
            </w:r>
          </w:p>
        </w:tc>
        <w:tc>
          <w:tcPr>
            <w:tcW w:type="dxa" w:w="1152"/>
          </w:tcPr>
          <w:p>
            <w:r>
              <w:t>5/12</w:t>
            </w:r>
          </w:p>
        </w:tc>
        <w:tc>
          <w:tcPr>
            <w:tcW w:type="dxa" w:w="4752"/>
          </w:tcPr>
          <w:p>
            <w:r>
              <w:t>fund price is premium/discount-driven and decoupled from NAV; benchmarking the price benchmarks the premium, not the portfolio</w:t>
            </w:r>
          </w:p>
        </w:tc>
      </w:tr>
    </w:tbl>
    <w:p>
      <w:pPr>
        <w:pStyle w:val="Heading1"/>
      </w:pPr>
      <w:r>
        <w:t>Peer cohort placement</w:t>
      </w:r>
    </w:p>
    <w:p>
      <w:r>
        <w:t>Evidence depth tier: COHORT. Cohort: Pre-IPO / venture growth (listed CEF + listed BDC + interval fund) (n=3). Membership rationale: Listed BDC (fka SuRo Capital) holding late-stage growth equity - the second market-priced venture vehicle; gives dxyz a premium/discount comparable. Membership CONDITIONAL on strategy continuity through the Neostellar rename (verification queue).</w:t>
      </w:r>
    </w:p>
    <w:p>
      <w:r>
        <w:t>Cohort placement (venture, R4 phrasing): mgmt fee: below the cohort median of 2.5 (n=3 — too small for percentile language) | expense ratio (bases differ - see notes): above the cohort median of 4.53 (n=3 — too small for percentile language) | repurchase cap: fact unavailable for this member. Stats + caveats in the cohort artifact.</w:t>
      </w:r>
    </w:p>
    <w:p>
      <w:r>
        <w:t>Cohort composite: REFUSED — members' pricing bases are heterogeneous (market price vs NAV); an equal-weight composite would average premium/discount dynamics against appraisal NAVs - refused, not fudged</w:t>
      </w:r>
    </w:p>
    <w:p>
      <w:pPr>
        <w:pStyle w:val="ListBullet"/>
      </w:pPr>
      <w:r>
        <w:t>Caveat: PRICING-BASIS MIX: some members transact at NAV, others at exchange market price - return comparisons mix appraisal dynamics with premium/discount dynamics; composites across this line are refused, not averaged. [arkvx: NAV; dxyz: MARKET PRICE - premium/discount to NAV is the investor's actual basis; ssss: MARKET PRICE - premium/discount to NAV is the investor's actual basis]</w:t>
      </w:r>
    </w:p>
    <w:p>
      <w:pPr>
        <w:pStyle w:val="ListBullet"/>
      </w:pPr>
      <w:r>
        <w:t>Caveat: LEVERAGE-REGIME MIX: BDC 150% coverage and non-1940-Act wrappers allow materially more leverage than 1940-Act funds - fee bases and return volatility are not like-for-like. [arkvx: 1940-Act asset-coverage limits; dxyz: 1940-Act limits; ssss: BDC 150% asset-coverage regime]</w:t>
      </w:r>
    </w:p>
    <w:p>
      <w:pPr>
        <w:pStyle w:val="ListBullet"/>
      </w:pPr>
      <w:r>
        <w:t>Caveat: LIQUIDITY-LAW MIX: Rule 23c-3 obligations, discretionary tenders, and repurchase plans give different worst-case exit rights; cadence numbers alone overstate comparability. [arkvx: Rule 23c-3 OBLIGATION (board cannot skip a window); dxyz: continuous exchange dealing; ssss: continuous exchange dealing]</w:t>
      </w:r>
    </w:p>
    <w:p>
      <w:pPr>
        <w:pStyle w:val="ListBullet"/>
      </w:pPr>
      <w:r>
        <w:t>Caveat: NAV-CADENCE MIX: daily, monthly, and quarterly NAV processes embed different appraisal smoothing; volatility and drawdown comparisons inherit that difference (see de-smoothing lab). [arkvx: daily NAV; dxyz: quarterly filed NAV; ssss: quarterly NAV determinations]</w:t>
      </w:r>
    </w:p>
    <w:p>
      <w:r>
        <w:t>Cohort exclusion log: every candidate considered and not admitted is recorded with its reason in data/roster_decisions.md (rendered on the site's Cohorts view). Membership is an argued judgment, not a tag.</w:t>
      </w:r>
    </w:p>
    <w:p>
      <w:pPr>
        <w:pStyle w:val="Heading1"/>
      </w:pPr>
      <w:r>
        <w:t>Provenance</w:t>
      </w:r>
    </w:p>
    <w:p>
      <w:r>
        <w:t>Every populated cell carries its source document, section, quote, extractor and verifier in data/evidence/. Current cell status for this product: computed: 10, extracted: 27, fetched: 1, n/a: 13, partial: 3. Cells marked extracted-unverified or computed await independent verification; verified cells have been independently re-checked. Cells marked structured come directly from machine-readable regulatory data (N-CEN structured datasets, XBRL company facts) with the source dataset cited; no model judgment is involved.</w:t>
      </w:r>
    </w:p>
    <w:p>
      <w:r>
        <w:t>Data sources include SEC EDGAR filings (see data/manifest.csv) and DOL EBSA Form 5500 bulk data. Sponsor name NEVER appears on demo surfaces. Data is public (DOL Form 5500 FOIA files); anonymization is a project display rule, not a legal requirement.</w:t>
      </w:r>
    </w:p>
    <w:p>
      <w:pPr>
        <w:jc w:val="left"/>
      </w:pPr>
      <w:r>
        <w:br/>
        <w:t>Prepared by: ______________________    Reviewed by: ______________________    Date: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